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DCFA" w14:textId="18BB475D" w:rsidR="0091193C" w:rsidRDefault="0091193C">
      <w:pPr>
        <w:rPr>
          <w:sz w:val="20"/>
          <w:szCs w:val="20"/>
        </w:rPr>
      </w:pPr>
    </w:p>
    <w:p w14:paraId="63AD70BB" w14:textId="77777777" w:rsidR="00F37E1F" w:rsidRPr="00A27281" w:rsidRDefault="00F37E1F">
      <w:pPr>
        <w:rPr>
          <w:sz w:val="20"/>
          <w:szCs w:val="20"/>
        </w:rPr>
      </w:pPr>
    </w:p>
    <w:p w14:paraId="7F082DAC" w14:textId="77777777" w:rsidR="007D274F" w:rsidRPr="00A27281" w:rsidRDefault="007D274F">
      <w:pPr>
        <w:rPr>
          <w:sz w:val="20"/>
          <w:szCs w:val="20"/>
        </w:rPr>
      </w:pPr>
    </w:p>
    <w:p w14:paraId="4D08C8A0" w14:textId="4E6429D2" w:rsidR="00FD4625" w:rsidRPr="00FD4625" w:rsidRDefault="00FE0060" w:rsidP="00FD4625">
      <w:pPr>
        <w:pBdr>
          <w:bottom w:val="single" w:sz="4" w:space="1" w:color="auto"/>
        </w:pBdr>
        <w:rPr>
          <w:rFonts w:ascii="Arial" w:hAnsi="Arial" w:cs="Arial"/>
          <w:b/>
        </w:rPr>
      </w:pPr>
      <w:bookmarkStart w:id="0" w:name="_GoBack"/>
      <w:r>
        <w:rPr>
          <w:rFonts w:ascii="Arial" w:hAnsi="Arial" w:cs="Arial"/>
          <w:b/>
        </w:rPr>
        <w:t xml:space="preserve">Kartläggning av kostnader i receptaffären för åren 2016 och </w:t>
      </w:r>
      <w:r w:rsidR="00DD0229">
        <w:rPr>
          <w:rFonts w:ascii="Arial" w:hAnsi="Arial" w:cs="Arial"/>
          <w:b/>
        </w:rPr>
        <w:t>20</w:t>
      </w:r>
      <w:r>
        <w:rPr>
          <w:rFonts w:ascii="Arial" w:hAnsi="Arial" w:cs="Arial"/>
          <w:b/>
        </w:rPr>
        <w:t>17</w:t>
      </w:r>
    </w:p>
    <w:bookmarkEnd w:id="0"/>
    <w:p w14:paraId="77CD0AEE" w14:textId="2650E7D7" w:rsidR="004B3BF6" w:rsidRPr="00FD4625" w:rsidRDefault="00FE0060" w:rsidP="00FD4625">
      <w:pPr>
        <w:pStyle w:val="Rubrik2"/>
        <w:rPr>
          <w:rStyle w:val="Starkbetoning"/>
          <w:i w:val="0"/>
          <w:sz w:val="22"/>
          <w:szCs w:val="22"/>
        </w:rPr>
      </w:pPr>
      <w:r>
        <w:rPr>
          <w:rStyle w:val="Starkbetoning"/>
          <w:i w:val="0"/>
          <w:sz w:val="22"/>
          <w:szCs w:val="22"/>
        </w:rPr>
        <w:t>Utgångspunkter</w:t>
      </w:r>
    </w:p>
    <w:p w14:paraId="026E43CB" w14:textId="0EE0399E" w:rsidR="00F92E3C" w:rsidRDefault="00D8213C" w:rsidP="00F92E3C">
      <w:pPr>
        <w:rPr>
          <w:sz w:val="22"/>
          <w:szCs w:val="22"/>
        </w:rPr>
      </w:pPr>
      <w:r w:rsidRPr="00D8213C">
        <w:rPr>
          <w:rFonts w:ascii="Cambria" w:eastAsia="Times New Roman" w:hAnsi="Cambria" w:cs="Times New Roman"/>
          <w:bCs/>
          <w:color w:val="000000"/>
          <w:sz w:val="22"/>
          <w:szCs w:val="22"/>
        </w:rPr>
        <w:t xml:space="preserve">Läkemedel är en central del av den moderna hälso- och sjukvården och utgör </w:t>
      </w:r>
      <w:r>
        <w:rPr>
          <w:rFonts w:ascii="Cambria" w:eastAsia="Times New Roman" w:hAnsi="Cambria" w:cs="Times New Roman"/>
          <w:bCs/>
          <w:color w:val="000000"/>
          <w:sz w:val="22"/>
          <w:szCs w:val="22"/>
        </w:rPr>
        <w:t xml:space="preserve">kring </w:t>
      </w:r>
      <w:r w:rsidRPr="00D8213C">
        <w:rPr>
          <w:rFonts w:ascii="Cambria" w:eastAsia="Times New Roman" w:hAnsi="Cambria" w:cs="Times New Roman"/>
          <w:bCs/>
          <w:color w:val="000000"/>
          <w:sz w:val="22"/>
          <w:szCs w:val="22"/>
        </w:rPr>
        <w:t>60 procent av vårdens terapiåtgärder.</w:t>
      </w:r>
      <w:r>
        <w:rPr>
          <w:rFonts w:ascii="Cambria" w:eastAsia="Times New Roman" w:hAnsi="Cambria" w:cs="Times New Roman"/>
          <w:bCs/>
          <w:color w:val="000000"/>
          <w:sz w:val="22"/>
          <w:szCs w:val="22"/>
        </w:rPr>
        <w:t xml:space="preserve"> En </w:t>
      </w:r>
      <w:r w:rsidR="00070E34" w:rsidRPr="00070E34">
        <w:rPr>
          <w:rFonts w:ascii="Cambria" w:eastAsia="Times New Roman" w:hAnsi="Cambria" w:cs="Times New Roman"/>
          <w:color w:val="000000"/>
          <w:sz w:val="22"/>
          <w:szCs w:val="22"/>
          <w:shd w:val="clear" w:color="auto" w:fill="FFFFFF"/>
        </w:rPr>
        <w:t xml:space="preserve">stor del av läkemedelsbehandlingen ansvarar patienten själv för, vilket kräver en patientsäker och fungerande rådgivning. Patienten ska veta hur och när läkemedlet ska tas, förstå om läkemedlet får önskad effekt och hålla koll på eventuella biverkningar. </w:t>
      </w:r>
      <w:r w:rsidR="00143471" w:rsidRPr="00070E34">
        <w:rPr>
          <w:rFonts w:ascii="Cambria" w:eastAsia="Times New Roman" w:hAnsi="Cambria" w:cs="Times New Roman"/>
          <w:color w:val="000000"/>
          <w:sz w:val="22"/>
          <w:szCs w:val="22"/>
          <w:shd w:val="clear" w:color="auto" w:fill="FFFFFF"/>
        </w:rPr>
        <w:t xml:space="preserve">Den självklara kunskapsbasen </w:t>
      </w:r>
      <w:r w:rsidR="00143471">
        <w:rPr>
          <w:rFonts w:ascii="Cambria" w:eastAsia="Times New Roman" w:hAnsi="Cambria" w:cs="Times New Roman"/>
          <w:color w:val="000000"/>
          <w:sz w:val="22"/>
          <w:szCs w:val="22"/>
          <w:shd w:val="clear" w:color="auto" w:fill="FFFFFF"/>
        </w:rPr>
        <w:t xml:space="preserve">och </w:t>
      </w:r>
      <w:r w:rsidR="00143471" w:rsidRPr="00070E34">
        <w:rPr>
          <w:rFonts w:ascii="Cambria" w:eastAsia="Times New Roman" w:hAnsi="Cambria" w:cs="Times New Roman"/>
          <w:color w:val="000000"/>
          <w:sz w:val="22"/>
          <w:szCs w:val="22"/>
          <w:shd w:val="clear" w:color="auto" w:fill="FFFFFF"/>
        </w:rPr>
        <w:t>kontrollstationen är apoteken och dess farmaceuter</w:t>
      </w:r>
      <w:r w:rsidR="00F37E1F">
        <w:rPr>
          <w:rFonts w:ascii="Cambria" w:eastAsia="Times New Roman" w:hAnsi="Cambria" w:cs="Times New Roman"/>
          <w:color w:val="000000"/>
          <w:sz w:val="22"/>
          <w:szCs w:val="22"/>
          <w:shd w:val="clear" w:color="auto" w:fill="FFFFFF"/>
        </w:rPr>
        <w:t>, ett apotek får enligt lag inte hålla öppet utan farmaceut på plats.</w:t>
      </w:r>
      <w:r w:rsidR="00143471">
        <w:rPr>
          <w:rFonts w:ascii="Cambria" w:eastAsia="Times New Roman" w:hAnsi="Cambria" w:cs="Times New Roman"/>
          <w:color w:val="000000"/>
          <w:sz w:val="22"/>
          <w:szCs w:val="22"/>
          <w:shd w:val="clear" w:color="auto" w:fill="FFFFFF"/>
        </w:rPr>
        <w:t xml:space="preserve"> Den läkemedelsrådgivning och det generiska utbytet som farmaceuterna på apotek utför varje dag utgör viktiga faktorer som bidrar till ökad patientsäkerhet och minskar samhällets kostnader för läkemedel.</w:t>
      </w:r>
      <w:r w:rsidR="00F37E1F">
        <w:rPr>
          <w:rFonts w:ascii="Cambria" w:eastAsia="Times New Roman" w:hAnsi="Cambria" w:cs="Times New Roman"/>
          <w:color w:val="000000"/>
          <w:sz w:val="22"/>
          <w:szCs w:val="22"/>
          <w:shd w:val="clear" w:color="auto" w:fill="FFFFFF"/>
        </w:rPr>
        <w:t xml:space="preserve"> Nästan 60 procent av apotekens anställda är farmaceuter. </w:t>
      </w:r>
      <w:r w:rsidR="00143471">
        <w:rPr>
          <w:rFonts w:ascii="Cambria" w:eastAsia="Times New Roman" w:hAnsi="Cambria" w:cs="Times New Roman"/>
          <w:color w:val="000000"/>
          <w:sz w:val="22"/>
          <w:szCs w:val="22"/>
          <w:shd w:val="clear" w:color="auto" w:fill="FFFFFF"/>
        </w:rPr>
        <w:t xml:space="preserve"> </w:t>
      </w:r>
      <w:r w:rsidR="00070E34">
        <w:rPr>
          <w:rFonts w:ascii="Cambria" w:eastAsia="Times New Roman" w:hAnsi="Cambria" w:cs="Times New Roman"/>
          <w:color w:val="000000"/>
          <w:sz w:val="22"/>
          <w:szCs w:val="22"/>
          <w:shd w:val="clear" w:color="auto" w:fill="FFFFFF"/>
        </w:rPr>
        <w:t xml:space="preserve">Hanteringen av receptbelagda läkemedel är den dominerande kostnaden </w:t>
      </w:r>
      <w:r w:rsidR="007A6E31">
        <w:rPr>
          <w:rFonts w:ascii="Cambria" w:eastAsia="Times New Roman" w:hAnsi="Cambria" w:cs="Times New Roman"/>
          <w:color w:val="000000"/>
          <w:sz w:val="22"/>
          <w:szCs w:val="22"/>
          <w:shd w:val="clear" w:color="auto" w:fill="FFFFFF"/>
        </w:rPr>
        <w:t xml:space="preserve">och kostnadsdrivaren </w:t>
      </w:r>
      <w:r w:rsidR="00070E34">
        <w:rPr>
          <w:rFonts w:ascii="Cambria" w:eastAsia="Times New Roman" w:hAnsi="Cambria" w:cs="Times New Roman"/>
          <w:color w:val="000000"/>
          <w:sz w:val="22"/>
          <w:szCs w:val="22"/>
          <w:shd w:val="clear" w:color="auto" w:fill="FFFFFF"/>
        </w:rPr>
        <w:t xml:space="preserve">för apoteken och den styrs </w:t>
      </w:r>
      <w:r w:rsidR="007A6E31">
        <w:rPr>
          <w:rFonts w:ascii="Cambria" w:eastAsia="Times New Roman" w:hAnsi="Cambria" w:cs="Times New Roman"/>
          <w:color w:val="000000"/>
          <w:sz w:val="22"/>
          <w:szCs w:val="22"/>
          <w:shd w:val="clear" w:color="auto" w:fill="FFFFFF"/>
        </w:rPr>
        <w:t xml:space="preserve">i stor utsträckning av krav i </w:t>
      </w:r>
      <w:r w:rsidR="00070E34">
        <w:rPr>
          <w:rFonts w:ascii="Cambria" w:eastAsia="Times New Roman" w:hAnsi="Cambria" w:cs="Times New Roman"/>
          <w:color w:val="000000"/>
          <w:sz w:val="22"/>
          <w:szCs w:val="22"/>
          <w:shd w:val="clear" w:color="auto" w:fill="FFFFFF"/>
        </w:rPr>
        <w:t xml:space="preserve">lagar och regler. </w:t>
      </w:r>
      <w:r w:rsidR="007A6E31">
        <w:rPr>
          <w:rFonts w:ascii="Cambria" w:eastAsia="Times New Roman" w:hAnsi="Cambria" w:cs="Times New Roman"/>
          <w:color w:val="000000"/>
          <w:sz w:val="22"/>
          <w:szCs w:val="22"/>
          <w:shd w:val="clear" w:color="auto" w:fill="FFFFFF"/>
        </w:rPr>
        <w:t>För h</w:t>
      </w:r>
      <w:r w:rsidR="00070E34">
        <w:rPr>
          <w:rFonts w:ascii="Cambria" w:eastAsia="Times New Roman" w:hAnsi="Cambria" w:cs="Times New Roman"/>
          <w:color w:val="000000"/>
          <w:sz w:val="22"/>
          <w:szCs w:val="22"/>
          <w:shd w:val="clear" w:color="auto" w:fill="FFFFFF"/>
        </w:rPr>
        <w:t>antering</w:t>
      </w:r>
      <w:r>
        <w:rPr>
          <w:rFonts w:ascii="Cambria" w:eastAsia="Times New Roman" w:hAnsi="Cambria" w:cs="Times New Roman"/>
          <w:color w:val="000000"/>
          <w:sz w:val="22"/>
          <w:szCs w:val="22"/>
          <w:shd w:val="clear" w:color="auto" w:fill="FFFFFF"/>
        </w:rPr>
        <w:t>en</w:t>
      </w:r>
      <w:r w:rsidR="00070E34">
        <w:rPr>
          <w:rFonts w:ascii="Cambria" w:eastAsia="Times New Roman" w:hAnsi="Cambria" w:cs="Times New Roman"/>
          <w:color w:val="000000"/>
          <w:sz w:val="22"/>
          <w:szCs w:val="22"/>
          <w:shd w:val="clear" w:color="auto" w:fill="FFFFFF"/>
        </w:rPr>
        <w:t xml:space="preserve"> </w:t>
      </w:r>
      <w:r>
        <w:rPr>
          <w:rFonts w:ascii="Cambria" w:eastAsia="Times New Roman" w:hAnsi="Cambria" w:cs="Times New Roman"/>
          <w:color w:val="000000"/>
          <w:sz w:val="22"/>
          <w:szCs w:val="22"/>
          <w:shd w:val="clear" w:color="auto" w:fill="FFFFFF"/>
        </w:rPr>
        <w:t xml:space="preserve">av detta samhällsuppdrag </w:t>
      </w:r>
      <w:r w:rsidR="007A6E31">
        <w:rPr>
          <w:rFonts w:ascii="Cambria" w:eastAsia="Times New Roman" w:hAnsi="Cambria" w:cs="Times New Roman"/>
          <w:color w:val="000000"/>
          <w:sz w:val="22"/>
          <w:szCs w:val="22"/>
          <w:shd w:val="clear" w:color="auto" w:fill="FFFFFF"/>
        </w:rPr>
        <w:t xml:space="preserve">får apoteken ersättning genom den </w:t>
      </w:r>
      <w:r w:rsidR="00070E34">
        <w:rPr>
          <w:rFonts w:ascii="Cambria" w:eastAsia="Times New Roman" w:hAnsi="Cambria" w:cs="Times New Roman"/>
          <w:color w:val="000000"/>
          <w:sz w:val="22"/>
          <w:szCs w:val="22"/>
          <w:shd w:val="clear" w:color="auto" w:fill="FFFFFF"/>
        </w:rPr>
        <w:t xml:space="preserve">statligt reglerade handelsmarginalen. </w:t>
      </w:r>
      <w:r w:rsidR="00F92E3C" w:rsidRPr="00C5143E">
        <w:rPr>
          <w:sz w:val="22"/>
          <w:szCs w:val="22"/>
        </w:rPr>
        <w:t>Sveriges Apoteksförening</w:t>
      </w:r>
      <w:r w:rsidR="00F92E3C">
        <w:rPr>
          <w:sz w:val="22"/>
          <w:szCs w:val="22"/>
        </w:rPr>
        <w:t xml:space="preserve"> har </w:t>
      </w:r>
      <w:r w:rsidR="00070E34">
        <w:rPr>
          <w:sz w:val="22"/>
          <w:szCs w:val="22"/>
        </w:rPr>
        <w:t xml:space="preserve">därför </w:t>
      </w:r>
      <w:r w:rsidR="00AB5F9A">
        <w:rPr>
          <w:sz w:val="22"/>
          <w:szCs w:val="22"/>
        </w:rPr>
        <w:t>g</w:t>
      </w:r>
      <w:r w:rsidR="001A2F5B">
        <w:rPr>
          <w:sz w:val="22"/>
          <w:szCs w:val="22"/>
        </w:rPr>
        <w:t>jort</w:t>
      </w:r>
      <w:r w:rsidR="00AB5F9A">
        <w:rPr>
          <w:sz w:val="22"/>
          <w:szCs w:val="22"/>
        </w:rPr>
        <w:t xml:space="preserve"> en förnyad beräkning av det </w:t>
      </w:r>
      <w:r w:rsidR="00F00F74">
        <w:rPr>
          <w:sz w:val="22"/>
          <w:szCs w:val="22"/>
        </w:rPr>
        <w:t xml:space="preserve">samlade </w:t>
      </w:r>
      <w:r w:rsidR="00AB5F9A">
        <w:rPr>
          <w:sz w:val="22"/>
          <w:szCs w:val="22"/>
        </w:rPr>
        <w:t>ekonomiska resultatet i den s.k. receptaffären</w:t>
      </w:r>
      <w:r w:rsidR="00BB559D">
        <w:rPr>
          <w:sz w:val="22"/>
          <w:szCs w:val="22"/>
        </w:rPr>
        <w:t>,</w:t>
      </w:r>
      <w:r w:rsidR="00AB5F9A">
        <w:rPr>
          <w:sz w:val="22"/>
          <w:szCs w:val="22"/>
        </w:rPr>
        <w:t xml:space="preserve"> samt </w:t>
      </w:r>
      <w:r w:rsidR="00F92E3C">
        <w:rPr>
          <w:sz w:val="22"/>
          <w:szCs w:val="22"/>
        </w:rPr>
        <w:t>låt</w:t>
      </w:r>
      <w:r w:rsidR="001A2F5B">
        <w:rPr>
          <w:sz w:val="22"/>
          <w:szCs w:val="22"/>
        </w:rPr>
        <w:t>it</w:t>
      </w:r>
      <w:r w:rsidR="00F92E3C">
        <w:rPr>
          <w:sz w:val="22"/>
          <w:szCs w:val="22"/>
        </w:rPr>
        <w:t xml:space="preserve"> extern</w:t>
      </w:r>
      <w:r w:rsidR="001A2F5B">
        <w:rPr>
          <w:sz w:val="22"/>
          <w:szCs w:val="22"/>
        </w:rPr>
        <w:t>a</w:t>
      </w:r>
      <w:r w:rsidR="00F92E3C">
        <w:rPr>
          <w:sz w:val="22"/>
          <w:szCs w:val="22"/>
        </w:rPr>
        <w:t xml:space="preserve"> revi</w:t>
      </w:r>
      <w:r w:rsidR="001A2F5B">
        <w:rPr>
          <w:sz w:val="22"/>
          <w:szCs w:val="22"/>
        </w:rPr>
        <w:t xml:space="preserve">sorer </w:t>
      </w:r>
      <w:r w:rsidR="00F92E3C">
        <w:rPr>
          <w:sz w:val="22"/>
          <w:szCs w:val="22"/>
        </w:rPr>
        <w:t xml:space="preserve">granska </w:t>
      </w:r>
      <w:r w:rsidR="001A2F5B">
        <w:rPr>
          <w:sz w:val="22"/>
          <w:szCs w:val="22"/>
        </w:rPr>
        <w:t xml:space="preserve">såväl </w:t>
      </w:r>
      <w:r w:rsidR="00F92E3C">
        <w:rPr>
          <w:sz w:val="22"/>
          <w:szCs w:val="22"/>
        </w:rPr>
        <w:t>medlems</w:t>
      </w:r>
      <w:r w:rsidR="00B97B83">
        <w:rPr>
          <w:sz w:val="22"/>
          <w:szCs w:val="22"/>
        </w:rPr>
        <w:t>-</w:t>
      </w:r>
      <w:r w:rsidR="00F92E3C">
        <w:rPr>
          <w:sz w:val="22"/>
          <w:szCs w:val="22"/>
        </w:rPr>
        <w:t xml:space="preserve">företagens </w:t>
      </w:r>
      <w:r w:rsidR="00AB5F9A">
        <w:rPr>
          <w:sz w:val="22"/>
          <w:szCs w:val="22"/>
        </w:rPr>
        <w:t>beräkningar</w:t>
      </w:r>
      <w:r w:rsidR="001A2F5B">
        <w:rPr>
          <w:sz w:val="22"/>
          <w:szCs w:val="22"/>
        </w:rPr>
        <w:t xml:space="preserve"> som föreningens sammanställning </w:t>
      </w:r>
      <w:r>
        <w:rPr>
          <w:sz w:val="22"/>
          <w:szCs w:val="22"/>
        </w:rPr>
        <w:t xml:space="preserve">av </w:t>
      </w:r>
      <w:r w:rsidR="001A2F5B">
        <w:rPr>
          <w:sz w:val="22"/>
          <w:szCs w:val="22"/>
        </w:rPr>
        <w:t xml:space="preserve">medlemsföretagens </w:t>
      </w:r>
      <w:r>
        <w:rPr>
          <w:sz w:val="22"/>
          <w:szCs w:val="22"/>
        </w:rPr>
        <w:t>kostnads</w:t>
      </w:r>
      <w:r w:rsidR="001A2F5B">
        <w:rPr>
          <w:sz w:val="22"/>
          <w:szCs w:val="22"/>
        </w:rPr>
        <w:t>underlag</w:t>
      </w:r>
      <w:r w:rsidR="00AB5F9A">
        <w:rPr>
          <w:sz w:val="22"/>
          <w:szCs w:val="22"/>
        </w:rPr>
        <w:t xml:space="preserve">. </w:t>
      </w:r>
    </w:p>
    <w:p w14:paraId="43EA56AD" w14:textId="77777777" w:rsidR="00F37E1F" w:rsidRDefault="00F37E1F" w:rsidP="007709AD">
      <w:pPr>
        <w:pStyle w:val="Rubrik2"/>
        <w:rPr>
          <w:rStyle w:val="Starkbetoning"/>
          <w:i w:val="0"/>
          <w:sz w:val="22"/>
          <w:szCs w:val="22"/>
        </w:rPr>
      </w:pPr>
    </w:p>
    <w:p w14:paraId="4F93ED7A" w14:textId="152191FD" w:rsidR="007709AD" w:rsidRDefault="007709AD" w:rsidP="007709AD">
      <w:pPr>
        <w:pStyle w:val="Rubrik2"/>
        <w:rPr>
          <w:rStyle w:val="Starkbetoning"/>
          <w:i w:val="0"/>
          <w:sz w:val="22"/>
          <w:szCs w:val="22"/>
        </w:rPr>
      </w:pPr>
      <w:r>
        <w:rPr>
          <w:rStyle w:val="Starkbetoning"/>
          <w:i w:val="0"/>
          <w:sz w:val="22"/>
          <w:szCs w:val="22"/>
        </w:rPr>
        <w:t>Metod och definitioner</w:t>
      </w:r>
    </w:p>
    <w:p w14:paraId="1414B97E" w14:textId="6A4A4447" w:rsidR="00AB5F9A" w:rsidRDefault="00F92E3C" w:rsidP="00F92E3C">
      <w:pPr>
        <w:rPr>
          <w:sz w:val="22"/>
          <w:szCs w:val="22"/>
        </w:rPr>
      </w:pPr>
      <w:r>
        <w:rPr>
          <w:sz w:val="22"/>
          <w:szCs w:val="22"/>
        </w:rPr>
        <w:t xml:space="preserve">Med </w:t>
      </w:r>
      <w:r w:rsidRPr="004A2573">
        <w:rPr>
          <w:i/>
          <w:sz w:val="22"/>
          <w:szCs w:val="22"/>
        </w:rPr>
        <w:t>resultatet i receptaffären</w:t>
      </w:r>
      <w:r>
        <w:rPr>
          <w:sz w:val="22"/>
          <w:szCs w:val="22"/>
        </w:rPr>
        <w:t xml:space="preserve"> avses intäkter minus kostnader för den totala hanteringen av förskrivna varor inom läkemedelsförmånerna. </w:t>
      </w:r>
      <w:r w:rsidRPr="004A2573">
        <w:rPr>
          <w:i/>
          <w:sz w:val="22"/>
          <w:szCs w:val="22"/>
        </w:rPr>
        <w:t>Intäkterna</w:t>
      </w:r>
      <w:r>
        <w:rPr>
          <w:sz w:val="22"/>
          <w:szCs w:val="22"/>
        </w:rPr>
        <w:t xml:space="preserve"> i detta sammanhang utgörs av den reglerade handels</w:t>
      </w:r>
      <w:r w:rsidR="00B97B83">
        <w:rPr>
          <w:sz w:val="22"/>
          <w:szCs w:val="22"/>
        </w:rPr>
        <w:t>-</w:t>
      </w:r>
      <w:r>
        <w:rPr>
          <w:sz w:val="22"/>
          <w:szCs w:val="22"/>
        </w:rPr>
        <w:t>marginalen</w:t>
      </w:r>
      <w:r w:rsidR="00EA420E">
        <w:rPr>
          <w:sz w:val="22"/>
          <w:szCs w:val="22"/>
        </w:rPr>
        <w:t xml:space="preserve"> som är en ersättning från staten</w:t>
      </w:r>
      <w:r>
        <w:rPr>
          <w:sz w:val="22"/>
          <w:szCs w:val="22"/>
        </w:rPr>
        <w:t xml:space="preserve">. I </w:t>
      </w:r>
      <w:r w:rsidR="00AB5F9A">
        <w:rPr>
          <w:sz w:val="22"/>
          <w:szCs w:val="22"/>
        </w:rPr>
        <w:t xml:space="preserve">redovisningen av </w:t>
      </w:r>
      <w:r>
        <w:rPr>
          <w:sz w:val="22"/>
          <w:szCs w:val="22"/>
        </w:rPr>
        <w:t xml:space="preserve">intäkterna ingår vidare merförtjänst av apotekens parallellimport (PI). </w:t>
      </w:r>
      <w:r w:rsidR="00AB5F9A">
        <w:rPr>
          <w:sz w:val="22"/>
          <w:szCs w:val="22"/>
        </w:rPr>
        <w:t xml:space="preserve">Apotekens förhandlingsrätt och möjligheter till </w:t>
      </w:r>
      <w:r>
        <w:rPr>
          <w:sz w:val="22"/>
          <w:szCs w:val="22"/>
        </w:rPr>
        <w:t xml:space="preserve">PI är en </w:t>
      </w:r>
      <w:r w:rsidR="00B558DD">
        <w:rPr>
          <w:sz w:val="22"/>
          <w:szCs w:val="22"/>
        </w:rPr>
        <w:t xml:space="preserve">central </w:t>
      </w:r>
      <w:r>
        <w:rPr>
          <w:sz w:val="22"/>
          <w:szCs w:val="22"/>
        </w:rPr>
        <w:t>del i prismodellen</w:t>
      </w:r>
      <w:r w:rsidR="00AB5F9A">
        <w:rPr>
          <w:sz w:val="22"/>
          <w:szCs w:val="22"/>
        </w:rPr>
        <w:t xml:space="preserve"> för förskrivna läkemedel inom förmånen. Det kan därför hävdas att denna merförtjänst bör ingå, även om intjäningen är volatil och skiftar över tid till följd av bland annat växelkurs</w:t>
      </w:r>
      <w:r w:rsidR="00B97B83">
        <w:rPr>
          <w:sz w:val="22"/>
          <w:szCs w:val="22"/>
        </w:rPr>
        <w:t>-</w:t>
      </w:r>
      <w:r w:rsidR="00AB5F9A">
        <w:rPr>
          <w:sz w:val="22"/>
          <w:szCs w:val="22"/>
        </w:rPr>
        <w:t>förändringar</w:t>
      </w:r>
      <w:r w:rsidR="00955893">
        <w:rPr>
          <w:sz w:val="22"/>
          <w:szCs w:val="22"/>
        </w:rPr>
        <w:t xml:space="preserve">, </w:t>
      </w:r>
      <w:r w:rsidR="00AB5F9A">
        <w:rPr>
          <w:sz w:val="22"/>
          <w:szCs w:val="22"/>
        </w:rPr>
        <w:t>patentutgångar</w:t>
      </w:r>
      <w:r w:rsidR="00955893">
        <w:rPr>
          <w:sz w:val="22"/>
          <w:szCs w:val="22"/>
        </w:rPr>
        <w:t xml:space="preserve"> och osäkerhet till följd av direktimportörens prisförändringar</w:t>
      </w:r>
      <w:r w:rsidR="00AB5F9A">
        <w:rPr>
          <w:sz w:val="22"/>
          <w:szCs w:val="22"/>
        </w:rPr>
        <w:t xml:space="preserve">. </w:t>
      </w:r>
    </w:p>
    <w:p w14:paraId="3DEC6665" w14:textId="77777777" w:rsidR="00AB5F9A" w:rsidRDefault="00AB5F9A" w:rsidP="00F92E3C">
      <w:pPr>
        <w:rPr>
          <w:sz w:val="22"/>
          <w:szCs w:val="22"/>
        </w:rPr>
      </w:pPr>
    </w:p>
    <w:p w14:paraId="14292FD4" w14:textId="77C3F739" w:rsidR="00C26D73" w:rsidRDefault="00F92E3C" w:rsidP="00F92E3C">
      <w:pPr>
        <w:rPr>
          <w:sz w:val="22"/>
          <w:szCs w:val="22"/>
        </w:rPr>
      </w:pPr>
      <w:r w:rsidRPr="004A2573">
        <w:rPr>
          <w:i/>
          <w:sz w:val="22"/>
          <w:szCs w:val="22"/>
        </w:rPr>
        <w:t>Kostnaderna</w:t>
      </w:r>
      <w:r>
        <w:rPr>
          <w:sz w:val="22"/>
          <w:szCs w:val="22"/>
        </w:rPr>
        <w:t xml:space="preserve"> för den totala hanteringen av receptförskrivna varor utgörs </w:t>
      </w:r>
      <w:r w:rsidR="000F0B14">
        <w:rPr>
          <w:sz w:val="22"/>
          <w:szCs w:val="22"/>
        </w:rPr>
        <w:t xml:space="preserve">dels </w:t>
      </w:r>
      <w:r>
        <w:rPr>
          <w:sz w:val="22"/>
          <w:szCs w:val="22"/>
        </w:rPr>
        <w:t xml:space="preserve">av </w:t>
      </w:r>
      <w:r w:rsidR="000F0B14">
        <w:rPr>
          <w:sz w:val="22"/>
          <w:szCs w:val="22"/>
        </w:rPr>
        <w:t xml:space="preserve">hänförliga delar av </w:t>
      </w:r>
      <w:r>
        <w:rPr>
          <w:sz w:val="22"/>
          <w:szCs w:val="22"/>
        </w:rPr>
        <w:t>centrala OH-funktioner</w:t>
      </w:r>
      <w:r w:rsidR="00C26D73">
        <w:rPr>
          <w:sz w:val="22"/>
          <w:szCs w:val="22"/>
        </w:rPr>
        <w:t xml:space="preserve"> (huvudkontor och annan centraliserad verksamhet)</w:t>
      </w:r>
      <w:r w:rsidR="000F0B14">
        <w:rPr>
          <w:sz w:val="22"/>
          <w:szCs w:val="22"/>
        </w:rPr>
        <w:t xml:space="preserve">, dels av hänförliga lokala kostnader för </w:t>
      </w:r>
      <w:r>
        <w:rPr>
          <w:sz w:val="22"/>
          <w:szCs w:val="22"/>
        </w:rPr>
        <w:t>öppenvårdsapotek</w:t>
      </w:r>
      <w:r w:rsidR="000F0B14">
        <w:rPr>
          <w:sz w:val="22"/>
          <w:szCs w:val="22"/>
        </w:rPr>
        <w:t>.</w:t>
      </w:r>
      <w:r>
        <w:rPr>
          <w:sz w:val="22"/>
          <w:szCs w:val="22"/>
        </w:rPr>
        <w:t xml:space="preserve"> Den centrala utmaningen i denna typ av undersökning är att på ett så korrekt sätt som möjligt göra en segmentsuppdelning av apotekens totala kostnader. Ansatsen i undersökningen är att utgå från respektive </w:t>
      </w:r>
      <w:r w:rsidR="00721BB9">
        <w:rPr>
          <w:sz w:val="22"/>
          <w:szCs w:val="22"/>
        </w:rPr>
        <w:t xml:space="preserve">aktörs </w:t>
      </w:r>
      <w:r>
        <w:rPr>
          <w:sz w:val="22"/>
          <w:szCs w:val="22"/>
        </w:rPr>
        <w:t xml:space="preserve">totala kostnader enligt årsredovisning, och därefter i olika steg skala bort sådana kostnader som </w:t>
      </w:r>
      <w:r w:rsidR="00BE71A2">
        <w:rPr>
          <w:sz w:val="22"/>
          <w:szCs w:val="22"/>
        </w:rPr>
        <w:t xml:space="preserve">1. </w:t>
      </w:r>
      <w:r>
        <w:rPr>
          <w:sz w:val="22"/>
          <w:szCs w:val="22"/>
        </w:rPr>
        <w:t xml:space="preserve">inte hör till </w:t>
      </w:r>
      <w:r w:rsidR="000F0B14">
        <w:rPr>
          <w:sz w:val="22"/>
          <w:szCs w:val="22"/>
        </w:rPr>
        <w:t xml:space="preserve">öppenvårdsapotek </w:t>
      </w:r>
      <w:r w:rsidR="005800FB">
        <w:rPr>
          <w:sz w:val="22"/>
          <w:szCs w:val="22"/>
        </w:rPr>
        <w:t>och</w:t>
      </w:r>
      <w:r w:rsidR="000F0B14">
        <w:rPr>
          <w:sz w:val="22"/>
          <w:szCs w:val="22"/>
        </w:rPr>
        <w:t xml:space="preserve"> </w:t>
      </w:r>
      <w:r w:rsidR="00BE71A2">
        <w:rPr>
          <w:sz w:val="22"/>
          <w:szCs w:val="22"/>
        </w:rPr>
        <w:t xml:space="preserve">2. </w:t>
      </w:r>
      <w:r w:rsidR="005C11CB">
        <w:rPr>
          <w:sz w:val="22"/>
          <w:szCs w:val="22"/>
        </w:rPr>
        <w:t>i</w:t>
      </w:r>
      <w:r w:rsidR="00CA1C03">
        <w:rPr>
          <w:sz w:val="22"/>
          <w:szCs w:val="22"/>
        </w:rPr>
        <w:t xml:space="preserve">nte avser </w:t>
      </w:r>
      <w:r>
        <w:rPr>
          <w:sz w:val="22"/>
          <w:szCs w:val="22"/>
        </w:rPr>
        <w:t>recept</w:t>
      </w:r>
      <w:r w:rsidR="00B97B83">
        <w:rPr>
          <w:sz w:val="22"/>
          <w:szCs w:val="22"/>
        </w:rPr>
        <w:t>-</w:t>
      </w:r>
      <w:r>
        <w:rPr>
          <w:sz w:val="22"/>
          <w:szCs w:val="22"/>
        </w:rPr>
        <w:t>affären, dvs</w:t>
      </w:r>
      <w:r w:rsidR="005800FB">
        <w:rPr>
          <w:sz w:val="22"/>
          <w:szCs w:val="22"/>
        </w:rPr>
        <w:t>.</w:t>
      </w:r>
      <w:r>
        <w:rPr>
          <w:sz w:val="22"/>
          <w:szCs w:val="22"/>
        </w:rPr>
        <w:t xml:space="preserve"> i stället hör till hanteringen av egenvårdsläkemedel, handelsvaror och förskrivna läke</w:t>
      </w:r>
      <w:r w:rsidR="00B97B83">
        <w:rPr>
          <w:sz w:val="22"/>
          <w:szCs w:val="22"/>
        </w:rPr>
        <w:t>-</w:t>
      </w:r>
      <w:r>
        <w:rPr>
          <w:sz w:val="22"/>
          <w:szCs w:val="22"/>
        </w:rPr>
        <w:t xml:space="preserve">medel utanför förmånen. Det är alltså fråga om en </w:t>
      </w:r>
      <w:proofErr w:type="spellStart"/>
      <w:r>
        <w:rPr>
          <w:sz w:val="22"/>
          <w:szCs w:val="22"/>
        </w:rPr>
        <w:t>top</w:t>
      </w:r>
      <w:proofErr w:type="spellEnd"/>
      <w:r w:rsidR="00CA1C03">
        <w:rPr>
          <w:sz w:val="22"/>
          <w:szCs w:val="22"/>
        </w:rPr>
        <w:t xml:space="preserve"> </w:t>
      </w:r>
      <w:r>
        <w:rPr>
          <w:sz w:val="22"/>
          <w:szCs w:val="22"/>
        </w:rPr>
        <w:t xml:space="preserve">down-ansats för att inga av apotekens totala kostnader ska kvarstå </w:t>
      </w:r>
      <w:r w:rsidR="000F0B14">
        <w:rPr>
          <w:sz w:val="22"/>
          <w:szCs w:val="22"/>
        </w:rPr>
        <w:t xml:space="preserve">som </w:t>
      </w:r>
      <w:proofErr w:type="spellStart"/>
      <w:r>
        <w:rPr>
          <w:sz w:val="22"/>
          <w:szCs w:val="22"/>
        </w:rPr>
        <w:t>ofördelade</w:t>
      </w:r>
      <w:proofErr w:type="spellEnd"/>
      <w:r w:rsidR="00C26D73">
        <w:rPr>
          <w:sz w:val="22"/>
          <w:szCs w:val="22"/>
        </w:rPr>
        <w:t>.</w:t>
      </w:r>
    </w:p>
    <w:p w14:paraId="62F1DD7E" w14:textId="77777777" w:rsidR="00C26D73" w:rsidRDefault="00C26D73" w:rsidP="00F92E3C">
      <w:pPr>
        <w:rPr>
          <w:sz w:val="22"/>
          <w:szCs w:val="22"/>
        </w:rPr>
      </w:pPr>
    </w:p>
    <w:p w14:paraId="1156B3AA" w14:textId="1521B639" w:rsidR="00F92E3C" w:rsidRDefault="00C26D73" w:rsidP="00F92E3C">
      <w:pPr>
        <w:rPr>
          <w:sz w:val="22"/>
          <w:szCs w:val="22"/>
        </w:rPr>
      </w:pPr>
      <w:r>
        <w:rPr>
          <w:sz w:val="22"/>
          <w:szCs w:val="22"/>
        </w:rPr>
        <w:t xml:space="preserve">Vissa kostnader som </w:t>
      </w:r>
      <w:r w:rsidR="00EB356E">
        <w:rPr>
          <w:sz w:val="22"/>
          <w:szCs w:val="22"/>
        </w:rPr>
        <w:t xml:space="preserve">exempelvis </w:t>
      </w:r>
      <w:r>
        <w:rPr>
          <w:sz w:val="22"/>
          <w:szCs w:val="22"/>
        </w:rPr>
        <w:t xml:space="preserve">receptexpeditionssystem belastar i </w:t>
      </w:r>
      <w:r w:rsidR="00DC3F3F">
        <w:rPr>
          <w:sz w:val="22"/>
          <w:szCs w:val="22"/>
        </w:rPr>
        <w:t xml:space="preserve">stort sett </w:t>
      </w:r>
      <w:r>
        <w:rPr>
          <w:sz w:val="22"/>
          <w:szCs w:val="22"/>
        </w:rPr>
        <w:t>receptaffären medan andra kostnader fördelas med hjälp av fördelningsnycklar som lokalyta, personalkostnader och vägd volym.</w:t>
      </w:r>
      <w:r w:rsidR="004D0431">
        <w:rPr>
          <w:sz w:val="22"/>
          <w:szCs w:val="22"/>
        </w:rPr>
        <w:t xml:space="preserve"> </w:t>
      </w:r>
      <w:r w:rsidR="008C59E3">
        <w:rPr>
          <w:sz w:val="22"/>
          <w:szCs w:val="22"/>
        </w:rPr>
        <w:t xml:space="preserve">De totala kostnaderna för förskrivet korrigeras </w:t>
      </w:r>
      <w:r w:rsidR="004B5F0C">
        <w:rPr>
          <w:sz w:val="22"/>
          <w:szCs w:val="22"/>
        </w:rPr>
        <w:t xml:space="preserve">sedan </w:t>
      </w:r>
      <w:r w:rsidR="008C59E3">
        <w:rPr>
          <w:sz w:val="22"/>
          <w:szCs w:val="22"/>
        </w:rPr>
        <w:t>med andelen receptorderrader som avser förskrivet inom förmånen. Slutligen sker påslag för kapitalkostnader</w:t>
      </w:r>
      <w:r w:rsidR="0088092D">
        <w:rPr>
          <w:sz w:val="22"/>
          <w:szCs w:val="22"/>
        </w:rPr>
        <w:t>,</w:t>
      </w:r>
      <w:r w:rsidR="008C59E3">
        <w:rPr>
          <w:sz w:val="22"/>
          <w:szCs w:val="22"/>
        </w:rPr>
        <w:t xml:space="preserve"> </w:t>
      </w:r>
      <w:r w:rsidR="006B0D20">
        <w:rPr>
          <w:sz w:val="22"/>
          <w:szCs w:val="22"/>
        </w:rPr>
        <w:t xml:space="preserve">som </w:t>
      </w:r>
      <w:r w:rsidR="0088092D">
        <w:rPr>
          <w:sz w:val="22"/>
          <w:szCs w:val="22"/>
        </w:rPr>
        <w:t xml:space="preserve">huvudsakligen är </w:t>
      </w:r>
      <w:r w:rsidR="006B0D20">
        <w:rPr>
          <w:sz w:val="22"/>
          <w:szCs w:val="22"/>
        </w:rPr>
        <w:t>av- och nedskrivningar</w:t>
      </w:r>
      <w:r w:rsidR="0088092D">
        <w:rPr>
          <w:sz w:val="22"/>
          <w:szCs w:val="22"/>
        </w:rPr>
        <w:t>,</w:t>
      </w:r>
      <w:r w:rsidR="006B0D20">
        <w:rPr>
          <w:sz w:val="22"/>
          <w:szCs w:val="22"/>
        </w:rPr>
        <w:t xml:space="preserve"> samt finansiella kostnader </w:t>
      </w:r>
      <w:r w:rsidR="008C59E3">
        <w:rPr>
          <w:sz w:val="22"/>
          <w:szCs w:val="22"/>
        </w:rPr>
        <w:t>relaterade till receptaffären.</w:t>
      </w:r>
      <w:r w:rsidR="006B0D20">
        <w:rPr>
          <w:sz w:val="22"/>
          <w:szCs w:val="22"/>
        </w:rPr>
        <w:t xml:space="preserve"> </w:t>
      </w:r>
      <w:r w:rsidR="008C59E3">
        <w:rPr>
          <w:sz w:val="22"/>
          <w:szCs w:val="22"/>
        </w:rPr>
        <w:t xml:space="preserve">   </w:t>
      </w:r>
      <w:r>
        <w:rPr>
          <w:sz w:val="22"/>
          <w:szCs w:val="22"/>
        </w:rPr>
        <w:t xml:space="preserve"> </w:t>
      </w:r>
    </w:p>
    <w:p w14:paraId="463746BE" w14:textId="77777777" w:rsidR="00F92E3C" w:rsidRDefault="00F92E3C" w:rsidP="00F92E3C">
      <w:pPr>
        <w:rPr>
          <w:sz w:val="22"/>
          <w:szCs w:val="22"/>
        </w:rPr>
      </w:pPr>
    </w:p>
    <w:p w14:paraId="0BA896E0" w14:textId="06910315" w:rsidR="003A3F9A" w:rsidRDefault="003A3F9A" w:rsidP="003A3F9A">
      <w:pPr>
        <w:rPr>
          <w:sz w:val="22"/>
          <w:szCs w:val="22"/>
        </w:rPr>
      </w:pPr>
      <w:r>
        <w:rPr>
          <w:sz w:val="22"/>
          <w:szCs w:val="22"/>
        </w:rPr>
        <w:t xml:space="preserve">Kostnadsunderlag har inhämtats genom en enhetlig </w:t>
      </w:r>
      <w:r w:rsidR="001A2F5B">
        <w:rPr>
          <w:sz w:val="22"/>
          <w:szCs w:val="22"/>
        </w:rPr>
        <w:t>beräknings</w:t>
      </w:r>
      <w:r>
        <w:rPr>
          <w:sz w:val="22"/>
          <w:szCs w:val="22"/>
        </w:rPr>
        <w:t xml:space="preserve">mall för åren 2016 och 2017 från de fem apotekskedjorna och den renodlade e-handelsaktören </w:t>
      </w:r>
      <w:proofErr w:type="spellStart"/>
      <w:r>
        <w:rPr>
          <w:sz w:val="22"/>
          <w:szCs w:val="22"/>
        </w:rPr>
        <w:t>Apotea</w:t>
      </w:r>
      <w:proofErr w:type="spellEnd"/>
      <w:r>
        <w:rPr>
          <w:sz w:val="22"/>
          <w:szCs w:val="22"/>
        </w:rPr>
        <w:t xml:space="preserve">. Ingen hänsyn tas till försäljningssätt, </w:t>
      </w:r>
      <w:r>
        <w:rPr>
          <w:sz w:val="22"/>
          <w:szCs w:val="22"/>
        </w:rPr>
        <w:lastRenderedPageBreak/>
        <w:t>utan kostnaderna avser såväl försäljning genom e-handelskanalen, som försäljning via fysiska öppenvår</w:t>
      </w:r>
      <w:r w:rsidR="00CA1C03">
        <w:rPr>
          <w:sz w:val="22"/>
          <w:szCs w:val="22"/>
        </w:rPr>
        <w:t>d</w:t>
      </w:r>
      <w:r>
        <w:rPr>
          <w:sz w:val="22"/>
          <w:szCs w:val="22"/>
        </w:rPr>
        <w:t>sapotek. Lloyds Apotek har brutet räkenskapsår men deras underlag är nedbrutet till kalenderår. De sex aktörerna hade en sammantagen marknadsandel på drygt 96 procent av segmentet förskrivna läkemedel för de undersökta åren.</w:t>
      </w:r>
    </w:p>
    <w:p w14:paraId="0C88ACDC" w14:textId="77777777" w:rsidR="00D8213C" w:rsidRDefault="00D8213C" w:rsidP="00F92E3C">
      <w:pPr>
        <w:rPr>
          <w:sz w:val="22"/>
          <w:szCs w:val="22"/>
        </w:rPr>
      </w:pPr>
    </w:p>
    <w:p w14:paraId="51A1B386" w14:textId="6EA86E97" w:rsidR="00F92E3C" w:rsidRDefault="00F92E3C" w:rsidP="00F92E3C">
      <w:pPr>
        <w:rPr>
          <w:sz w:val="22"/>
          <w:szCs w:val="22"/>
        </w:rPr>
      </w:pPr>
      <w:r>
        <w:rPr>
          <w:sz w:val="22"/>
          <w:szCs w:val="22"/>
        </w:rPr>
        <w:t>När segmentsuppdelningen är gjord (dvs</w:t>
      </w:r>
      <w:r w:rsidR="006B0D20">
        <w:rPr>
          <w:sz w:val="22"/>
          <w:szCs w:val="22"/>
        </w:rPr>
        <w:t>.</w:t>
      </w:r>
      <w:r>
        <w:rPr>
          <w:sz w:val="22"/>
          <w:szCs w:val="22"/>
        </w:rPr>
        <w:t xml:space="preserve"> samtliga kostnader hänförda till antingen receptaffären eller till övriga verksamheter) kan kostnaderna för receptaffären jämföras med intäkterna från den reglerade handelsmarginalen</w:t>
      </w:r>
      <w:r w:rsidR="00C26D73">
        <w:rPr>
          <w:sz w:val="22"/>
          <w:szCs w:val="22"/>
        </w:rPr>
        <w:t xml:space="preserve"> och merförtjänsten från parallellimport</w:t>
      </w:r>
      <w:r>
        <w:rPr>
          <w:sz w:val="22"/>
          <w:szCs w:val="22"/>
        </w:rPr>
        <w:t>. Därigenom erhålls ett mått, i kronor eller som andel</w:t>
      </w:r>
      <w:r w:rsidR="00C26D73">
        <w:rPr>
          <w:sz w:val="22"/>
          <w:szCs w:val="22"/>
        </w:rPr>
        <w:t xml:space="preserve"> i procent</w:t>
      </w:r>
      <w:r>
        <w:rPr>
          <w:sz w:val="22"/>
          <w:szCs w:val="22"/>
        </w:rPr>
        <w:t>, på hur stor del av receptaffärens kostnader som täcks av den reglerade handelsmarginalen</w:t>
      </w:r>
      <w:r w:rsidR="00C26D73">
        <w:rPr>
          <w:sz w:val="22"/>
          <w:szCs w:val="22"/>
        </w:rPr>
        <w:t xml:space="preserve"> och PI-intjäningen</w:t>
      </w:r>
      <w:r>
        <w:rPr>
          <w:sz w:val="22"/>
          <w:szCs w:val="22"/>
        </w:rPr>
        <w:t xml:space="preserve">. </w:t>
      </w:r>
    </w:p>
    <w:p w14:paraId="00F6E082" w14:textId="77777777" w:rsidR="00F92E3C" w:rsidRDefault="00F92E3C" w:rsidP="00F92E3C">
      <w:pPr>
        <w:rPr>
          <w:sz w:val="22"/>
          <w:szCs w:val="22"/>
        </w:rPr>
      </w:pPr>
    </w:p>
    <w:p w14:paraId="54EF0FED" w14:textId="77777777" w:rsidR="00B97B83" w:rsidRDefault="006F784B" w:rsidP="00F92E3C">
      <w:pPr>
        <w:rPr>
          <w:sz w:val="22"/>
          <w:szCs w:val="22"/>
        </w:rPr>
      </w:pPr>
      <w:r>
        <w:rPr>
          <w:sz w:val="22"/>
          <w:szCs w:val="22"/>
        </w:rPr>
        <w:t xml:space="preserve">Beräkningarna har </w:t>
      </w:r>
      <w:r w:rsidR="00C57F0D">
        <w:rPr>
          <w:sz w:val="22"/>
          <w:szCs w:val="22"/>
        </w:rPr>
        <w:t xml:space="preserve">granskats av </w:t>
      </w:r>
      <w:r w:rsidR="004754F2">
        <w:rPr>
          <w:sz w:val="22"/>
          <w:szCs w:val="22"/>
        </w:rPr>
        <w:t xml:space="preserve">respektive </w:t>
      </w:r>
      <w:r w:rsidR="00C57F0D">
        <w:rPr>
          <w:sz w:val="22"/>
          <w:szCs w:val="22"/>
        </w:rPr>
        <w:t>bolags externa revisorer enligt specificerade gransknings</w:t>
      </w:r>
      <w:r w:rsidR="00B97B83">
        <w:rPr>
          <w:sz w:val="22"/>
          <w:szCs w:val="22"/>
        </w:rPr>
        <w:t>-</w:t>
      </w:r>
      <w:r w:rsidR="00C57F0D">
        <w:rPr>
          <w:sz w:val="22"/>
          <w:szCs w:val="22"/>
        </w:rPr>
        <w:t>åtgärder</w:t>
      </w:r>
      <w:r w:rsidR="004754F2">
        <w:rPr>
          <w:sz w:val="22"/>
          <w:szCs w:val="22"/>
        </w:rPr>
        <w:t xml:space="preserve"> </w:t>
      </w:r>
      <w:r w:rsidR="002D21D8">
        <w:rPr>
          <w:sz w:val="22"/>
          <w:szCs w:val="22"/>
        </w:rPr>
        <w:t xml:space="preserve">eller steg </w:t>
      </w:r>
      <w:r w:rsidR="004754F2">
        <w:rPr>
          <w:sz w:val="22"/>
          <w:szCs w:val="22"/>
        </w:rPr>
        <w:t>framtagna av</w:t>
      </w:r>
      <w:r w:rsidR="00C90EE9">
        <w:rPr>
          <w:sz w:val="22"/>
          <w:szCs w:val="22"/>
        </w:rPr>
        <w:t xml:space="preserve"> </w:t>
      </w:r>
      <w:r w:rsidR="004754F2">
        <w:rPr>
          <w:sz w:val="22"/>
          <w:szCs w:val="22"/>
        </w:rPr>
        <w:t>revisionsfirman Ernst &amp;Young (</w:t>
      </w:r>
      <w:proofErr w:type="spellStart"/>
      <w:r w:rsidR="004754F2">
        <w:rPr>
          <w:sz w:val="22"/>
          <w:szCs w:val="22"/>
        </w:rPr>
        <w:t>E&amp;Y</w:t>
      </w:r>
      <w:proofErr w:type="spellEnd"/>
      <w:r w:rsidR="004754F2">
        <w:rPr>
          <w:sz w:val="22"/>
          <w:szCs w:val="22"/>
        </w:rPr>
        <w:t>)</w:t>
      </w:r>
      <w:r w:rsidR="001A2F5B">
        <w:rPr>
          <w:sz w:val="22"/>
          <w:szCs w:val="22"/>
        </w:rPr>
        <w:t>.</w:t>
      </w:r>
      <w:r w:rsidR="004754F2">
        <w:rPr>
          <w:sz w:val="22"/>
          <w:szCs w:val="22"/>
        </w:rPr>
        <w:t xml:space="preserve"> </w:t>
      </w:r>
      <w:r w:rsidR="0079723F">
        <w:rPr>
          <w:sz w:val="22"/>
          <w:szCs w:val="22"/>
        </w:rPr>
        <w:t xml:space="preserve">Dessa granskningsåtgärder är kopplade till </w:t>
      </w:r>
      <w:r w:rsidR="00FC3B32">
        <w:rPr>
          <w:sz w:val="22"/>
          <w:szCs w:val="22"/>
        </w:rPr>
        <w:t>beräknings</w:t>
      </w:r>
      <w:r w:rsidR="0079723F">
        <w:rPr>
          <w:sz w:val="22"/>
          <w:szCs w:val="22"/>
        </w:rPr>
        <w:t xml:space="preserve">mallen. </w:t>
      </w:r>
      <w:r w:rsidR="00C57F0D">
        <w:rPr>
          <w:sz w:val="22"/>
          <w:szCs w:val="22"/>
        </w:rPr>
        <w:t xml:space="preserve">Revisionen har skett enligt ISA-standard och omfattning (SNT 4400). </w:t>
      </w:r>
      <w:proofErr w:type="spellStart"/>
      <w:r w:rsidR="00C90EE9">
        <w:rPr>
          <w:sz w:val="22"/>
          <w:szCs w:val="22"/>
        </w:rPr>
        <w:t>E&amp;Y</w:t>
      </w:r>
      <w:proofErr w:type="spellEnd"/>
      <w:r w:rsidR="00C90EE9">
        <w:rPr>
          <w:sz w:val="22"/>
          <w:szCs w:val="22"/>
        </w:rPr>
        <w:t xml:space="preserve"> har sammanställt </w:t>
      </w:r>
      <w:r w:rsidR="00B558DD">
        <w:rPr>
          <w:sz w:val="22"/>
          <w:szCs w:val="22"/>
        </w:rPr>
        <w:t xml:space="preserve">revisorernas </w:t>
      </w:r>
      <w:r w:rsidR="00C90EE9">
        <w:rPr>
          <w:sz w:val="22"/>
          <w:szCs w:val="22"/>
        </w:rPr>
        <w:t xml:space="preserve">granskningsrapporter i </w:t>
      </w:r>
      <w:r w:rsidR="00FC3B32">
        <w:rPr>
          <w:sz w:val="22"/>
          <w:szCs w:val="22"/>
        </w:rPr>
        <w:t xml:space="preserve">två </w:t>
      </w:r>
      <w:r w:rsidR="00B558DD">
        <w:rPr>
          <w:sz w:val="22"/>
          <w:szCs w:val="22"/>
        </w:rPr>
        <w:t>utlåtande</w:t>
      </w:r>
      <w:r w:rsidR="00FC3B32">
        <w:rPr>
          <w:sz w:val="22"/>
          <w:szCs w:val="22"/>
        </w:rPr>
        <w:t>n</w:t>
      </w:r>
      <w:r w:rsidR="00C90EE9">
        <w:rPr>
          <w:sz w:val="22"/>
          <w:szCs w:val="22"/>
        </w:rPr>
        <w:t xml:space="preserve"> </w:t>
      </w:r>
      <w:r w:rsidR="00FC3B32">
        <w:rPr>
          <w:sz w:val="22"/>
          <w:szCs w:val="22"/>
        </w:rPr>
        <w:t>för 2016 resp</w:t>
      </w:r>
      <w:r w:rsidR="001A2F5B">
        <w:rPr>
          <w:sz w:val="22"/>
          <w:szCs w:val="22"/>
        </w:rPr>
        <w:t xml:space="preserve">ektive </w:t>
      </w:r>
      <w:r w:rsidR="00FC3B32">
        <w:rPr>
          <w:sz w:val="22"/>
          <w:szCs w:val="22"/>
        </w:rPr>
        <w:t>2017</w:t>
      </w:r>
      <w:r w:rsidR="00C90EE9">
        <w:rPr>
          <w:sz w:val="22"/>
          <w:szCs w:val="22"/>
        </w:rPr>
        <w:t>.</w:t>
      </w:r>
      <w:r w:rsidR="004754F2">
        <w:rPr>
          <w:sz w:val="22"/>
          <w:szCs w:val="22"/>
        </w:rPr>
        <w:t xml:space="preserve"> </w:t>
      </w:r>
      <w:r w:rsidR="00C90EE9">
        <w:rPr>
          <w:sz w:val="22"/>
          <w:szCs w:val="22"/>
        </w:rPr>
        <w:t xml:space="preserve">Sveriges apoteksförening har </w:t>
      </w:r>
      <w:r w:rsidR="00B558DD">
        <w:rPr>
          <w:sz w:val="22"/>
          <w:szCs w:val="22"/>
        </w:rPr>
        <w:t xml:space="preserve">slutligen </w:t>
      </w:r>
      <w:r w:rsidR="00C90EE9">
        <w:rPr>
          <w:sz w:val="22"/>
          <w:szCs w:val="22"/>
        </w:rPr>
        <w:t xml:space="preserve">gjort en totalsammanställning och summering </w:t>
      </w:r>
      <w:r w:rsidR="004754F2">
        <w:rPr>
          <w:sz w:val="22"/>
          <w:szCs w:val="22"/>
        </w:rPr>
        <w:t xml:space="preserve">av de </w:t>
      </w:r>
      <w:r w:rsidR="00C90EE9">
        <w:rPr>
          <w:sz w:val="22"/>
          <w:szCs w:val="22"/>
        </w:rPr>
        <w:t xml:space="preserve">sex </w:t>
      </w:r>
      <w:r w:rsidR="004754F2">
        <w:rPr>
          <w:sz w:val="22"/>
          <w:szCs w:val="22"/>
        </w:rPr>
        <w:t>enskilda bolagens kostnadsunderlag</w:t>
      </w:r>
      <w:r w:rsidR="00C90EE9">
        <w:rPr>
          <w:sz w:val="22"/>
          <w:szCs w:val="22"/>
        </w:rPr>
        <w:t xml:space="preserve">. </w:t>
      </w:r>
      <w:r w:rsidR="00B558DD">
        <w:rPr>
          <w:sz w:val="22"/>
          <w:szCs w:val="22"/>
        </w:rPr>
        <w:t>Även d</w:t>
      </w:r>
      <w:r w:rsidR="00C90EE9">
        <w:rPr>
          <w:sz w:val="22"/>
          <w:szCs w:val="22"/>
        </w:rPr>
        <w:t xml:space="preserve">enna sammanställning </w:t>
      </w:r>
      <w:r w:rsidR="004754F2">
        <w:rPr>
          <w:sz w:val="22"/>
          <w:szCs w:val="22"/>
        </w:rPr>
        <w:t xml:space="preserve">har granskats av </w:t>
      </w:r>
      <w:proofErr w:type="spellStart"/>
      <w:r w:rsidR="004754F2">
        <w:rPr>
          <w:sz w:val="22"/>
          <w:szCs w:val="22"/>
        </w:rPr>
        <w:t>E&amp;Y</w:t>
      </w:r>
      <w:proofErr w:type="spellEnd"/>
      <w:r w:rsidR="001A2F5B">
        <w:rPr>
          <w:sz w:val="22"/>
          <w:szCs w:val="22"/>
        </w:rPr>
        <w:t>.</w:t>
      </w:r>
    </w:p>
    <w:p w14:paraId="1A0F868A" w14:textId="7242DA60" w:rsidR="00F92E3C" w:rsidRPr="00491762" w:rsidRDefault="00C90EE9" w:rsidP="00F92E3C">
      <w:pPr>
        <w:rPr>
          <w:sz w:val="22"/>
          <w:szCs w:val="22"/>
        </w:rPr>
      </w:pPr>
      <w:r>
        <w:rPr>
          <w:sz w:val="22"/>
          <w:szCs w:val="22"/>
        </w:rPr>
        <w:t xml:space="preserve"> </w:t>
      </w:r>
      <w:r w:rsidR="004754F2">
        <w:rPr>
          <w:sz w:val="22"/>
          <w:szCs w:val="22"/>
        </w:rPr>
        <w:t xml:space="preserve">  </w:t>
      </w:r>
      <w:r w:rsidR="00C57F0D">
        <w:rPr>
          <w:sz w:val="22"/>
          <w:szCs w:val="22"/>
        </w:rPr>
        <w:t xml:space="preserve"> </w:t>
      </w:r>
      <w:r w:rsidR="00F92E3C">
        <w:rPr>
          <w:sz w:val="22"/>
          <w:szCs w:val="22"/>
        </w:rPr>
        <w:t xml:space="preserve"> </w:t>
      </w:r>
    </w:p>
    <w:p w14:paraId="735D09F7" w14:textId="52197D7A" w:rsidR="00840848" w:rsidRDefault="00FE0060" w:rsidP="00840848">
      <w:pPr>
        <w:pStyle w:val="Rubrik2"/>
        <w:rPr>
          <w:rStyle w:val="Starkbetoning"/>
          <w:i w:val="0"/>
          <w:sz w:val="22"/>
          <w:szCs w:val="22"/>
        </w:rPr>
      </w:pPr>
      <w:r>
        <w:rPr>
          <w:rStyle w:val="Starkbetoning"/>
          <w:i w:val="0"/>
          <w:sz w:val="22"/>
          <w:szCs w:val="22"/>
        </w:rPr>
        <w:t>Resultat</w:t>
      </w:r>
    </w:p>
    <w:p w14:paraId="7883AF22" w14:textId="2FBABCB8" w:rsidR="00FB7263" w:rsidRDefault="00FB7263" w:rsidP="00C377B9">
      <w:pPr>
        <w:rPr>
          <w:sz w:val="22"/>
          <w:szCs w:val="22"/>
        </w:rPr>
      </w:pPr>
      <w:r w:rsidRPr="00FB7263">
        <w:rPr>
          <w:sz w:val="22"/>
          <w:szCs w:val="22"/>
        </w:rPr>
        <w:t xml:space="preserve">I nedanstående tabell 1 återges </w:t>
      </w:r>
      <w:r w:rsidR="00FC3B32">
        <w:rPr>
          <w:sz w:val="22"/>
          <w:szCs w:val="22"/>
        </w:rPr>
        <w:t xml:space="preserve">resultaten från samanställningen av </w:t>
      </w:r>
      <w:r w:rsidRPr="00FB7263">
        <w:rPr>
          <w:sz w:val="22"/>
          <w:szCs w:val="22"/>
        </w:rPr>
        <w:t xml:space="preserve">de sex bolagens samlade intäkter, </w:t>
      </w:r>
      <w:r>
        <w:rPr>
          <w:sz w:val="22"/>
          <w:szCs w:val="22"/>
        </w:rPr>
        <w:t xml:space="preserve">hänförliga </w:t>
      </w:r>
      <w:r w:rsidRPr="00FB7263">
        <w:rPr>
          <w:sz w:val="22"/>
          <w:szCs w:val="22"/>
        </w:rPr>
        <w:t xml:space="preserve">kostnader och </w:t>
      </w:r>
      <w:r w:rsidR="009B502B">
        <w:rPr>
          <w:sz w:val="22"/>
          <w:szCs w:val="22"/>
        </w:rPr>
        <w:t>r</w:t>
      </w:r>
      <w:r w:rsidRPr="00FB7263">
        <w:rPr>
          <w:sz w:val="22"/>
          <w:szCs w:val="22"/>
        </w:rPr>
        <w:t>esultat</w:t>
      </w:r>
      <w:r w:rsidR="00B569E4">
        <w:rPr>
          <w:sz w:val="22"/>
          <w:szCs w:val="22"/>
        </w:rPr>
        <w:t xml:space="preserve"> för förskrivet inom förmånen</w:t>
      </w:r>
      <w:r>
        <w:rPr>
          <w:sz w:val="22"/>
          <w:szCs w:val="22"/>
        </w:rPr>
        <w:t xml:space="preserve">. Av tabellen framgår att nettoresultatet innebär ett underskott </w:t>
      </w:r>
      <w:r w:rsidR="00B569E4">
        <w:rPr>
          <w:sz w:val="22"/>
          <w:szCs w:val="22"/>
        </w:rPr>
        <w:t xml:space="preserve">i receptaffären </w:t>
      </w:r>
      <w:r>
        <w:rPr>
          <w:sz w:val="22"/>
          <w:szCs w:val="22"/>
        </w:rPr>
        <w:t xml:space="preserve">på </w:t>
      </w:r>
      <w:r w:rsidR="00E018C0">
        <w:rPr>
          <w:sz w:val="22"/>
          <w:szCs w:val="22"/>
        </w:rPr>
        <w:t>cirka 597</w:t>
      </w:r>
      <w:r>
        <w:rPr>
          <w:sz w:val="22"/>
          <w:szCs w:val="22"/>
        </w:rPr>
        <w:t xml:space="preserve"> för 2016 respektive 678 miljoner kr för 2017. </w:t>
      </w:r>
      <w:r w:rsidR="007A11C5">
        <w:rPr>
          <w:sz w:val="22"/>
          <w:szCs w:val="22"/>
        </w:rPr>
        <w:t xml:space="preserve">Det framgår vidare att intäkterna inte ens täcker hänförliga kostnader </w:t>
      </w:r>
      <w:r w:rsidR="007A11C5" w:rsidRPr="007A11C5">
        <w:rPr>
          <w:i/>
          <w:sz w:val="22"/>
          <w:szCs w:val="22"/>
        </w:rPr>
        <w:t>före</w:t>
      </w:r>
      <w:r w:rsidR="007A11C5">
        <w:rPr>
          <w:sz w:val="22"/>
          <w:szCs w:val="22"/>
        </w:rPr>
        <w:t xml:space="preserve"> kapitalkostnader</w:t>
      </w:r>
      <w:r w:rsidR="008B5525">
        <w:rPr>
          <w:sz w:val="22"/>
          <w:szCs w:val="22"/>
        </w:rPr>
        <w:t> </w:t>
      </w:r>
      <w:r w:rsidR="009B502B">
        <w:rPr>
          <w:sz w:val="22"/>
          <w:szCs w:val="22"/>
        </w:rPr>
        <w:t>(</w:t>
      </w:r>
      <w:r w:rsidR="003A3F9A">
        <w:rPr>
          <w:sz w:val="22"/>
          <w:szCs w:val="22"/>
        </w:rPr>
        <w:t>b</w:t>
      </w:r>
      <w:r w:rsidR="009B502B">
        <w:rPr>
          <w:sz w:val="22"/>
          <w:szCs w:val="22"/>
        </w:rPr>
        <w:t>)</w:t>
      </w:r>
      <w:r w:rsidR="007A11C5">
        <w:rPr>
          <w:sz w:val="22"/>
          <w:szCs w:val="22"/>
        </w:rPr>
        <w:t>. Kapital</w:t>
      </w:r>
      <w:r w:rsidR="00B97B83">
        <w:rPr>
          <w:sz w:val="22"/>
          <w:szCs w:val="22"/>
        </w:rPr>
        <w:t>-</w:t>
      </w:r>
      <w:r w:rsidR="007A11C5">
        <w:rPr>
          <w:sz w:val="22"/>
          <w:szCs w:val="22"/>
        </w:rPr>
        <w:t xml:space="preserve">kostnaderna </w:t>
      </w:r>
      <w:r w:rsidR="009B502B">
        <w:rPr>
          <w:sz w:val="22"/>
          <w:szCs w:val="22"/>
        </w:rPr>
        <w:t>(</w:t>
      </w:r>
      <w:r w:rsidR="003A3F9A">
        <w:rPr>
          <w:sz w:val="22"/>
          <w:szCs w:val="22"/>
        </w:rPr>
        <w:t>c</w:t>
      </w:r>
      <w:r w:rsidR="009B502B">
        <w:rPr>
          <w:sz w:val="22"/>
          <w:szCs w:val="22"/>
        </w:rPr>
        <w:t xml:space="preserve">) </w:t>
      </w:r>
      <w:r w:rsidR="007A11C5">
        <w:rPr>
          <w:sz w:val="22"/>
          <w:szCs w:val="22"/>
        </w:rPr>
        <w:t>är huvudsakligen av- och nedskrivningar enligt bokslut</w:t>
      </w:r>
      <w:r w:rsidR="009B502B">
        <w:rPr>
          <w:sz w:val="22"/>
          <w:szCs w:val="22"/>
        </w:rPr>
        <w:t xml:space="preserve"> som korrigerats till att avse förskrivet inom förmånen</w:t>
      </w:r>
      <w:r w:rsidR="007A11C5">
        <w:rPr>
          <w:sz w:val="22"/>
          <w:szCs w:val="22"/>
        </w:rPr>
        <w:t>.</w:t>
      </w:r>
      <w:r w:rsidR="009B502B">
        <w:rPr>
          <w:sz w:val="22"/>
          <w:szCs w:val="22"/>
        </w:rPr>
        <w:t xml:space="preserve"> </w:t>
      </w:r>
      <w:r w:rsidR="007A11C5">
        <w:rPr>
          <w:sz w:val="22"/>
          <w:szCs w:val="22"/>
        </w:rPr>
        <w:t xml:space="preserve"> </w:t>
      </w:r>
    </w:p>
    <w:p w14:paraId="2D2F8312" w14:textId="77777777" w:rsidR="00933933" w:rsidRDefault="00933933" w:rsidP="00C377B9">
      <w:pPr>
        <w:rPr>
          <w:b/>
          <w:sz w:val="20"/>
          <w:szCs w:val="20"/>
        </w:rPr>
      </w:pPr>
    </w:p>
    <w:p w14:paraId="5B532A5A" w14:textId="7BAE8279" w:rsidR="00C377B9" w:rsidRPr="005B4106" w:rsidRDefault="00C377B9" w:rsidP="00C377B9">
      <w:pPr>
        <w:rPr>
          <w:b/>
          <w:sz w:val="20"/>
          <w:szCs w:val="20"/>
        </w:rPr>
      </w:pPr>
      <w:r w:rsidRPr="005B4106">
        <w:rPr>
          <w:b/>
          <w:sz w:val="20"/>
          <w:szCs w:val="20"/>
        </w:rPr>
        <w:t xml:space="preserve">Tabell </w:t>
      </w:r>
      <w:r>
        <w:rPr>
          <w:b/>
          <w:sz w:val="20"/>
          <w:szCs w:val="20"/>
        </w:rPr>
        <w:t>1</w:t>
      </w:r>
      <w:r w:rsidRPr="005B4106">
        <w:rPr>
          <w:b/>
          <w:sz w:val="20"/>
          <w:szCs w:val="20"/>
        </w:rPr>
        <w:t xml:space="preserve"> </w:t>
      </w:r>
      <w:r w:rsidR="00435B88">
        <w:rPr>
          <w:b/>
          <w:sz w:val="20"/>
          <w:szCs w:val="20"/>
        </w:rPr>
        <w:t>Intäkter, k</w:t>
      </w:r>
      <w:r>
        <w:rPr>
          <w:b/>
          <w:sz w:val="20"/>
          <w:szCs w:val="20"/>
        </w:rPr>
        <w:t xml:space="preserve">ostnader och resultat </w:t>
      </w:r>
      <w:r w:rsidR="00CA1C03">
        <w:rPr>
          <w:b/>
          <w:sz w:val="20"/>
          <w:szCs w:val="20"/>
        </w:rPr>
        <w:t>för</w:t>
      </w:r>
      <w:r>
        <w:rPr>
          <w:b/>
          <w:sz w:val="20"/>
          <w:szCs w:val="20"/>
        </w:rPr>
        <w:t xml:space="preserve"> </w:t>
      </w:r>
      <w:r w:rsidRPr="005B4106">
        <w:rPr>
          <w:b/>
          <w:sz w:val="20"/>
          <w:szCs w:val="20"/>
        </w:rPr>
        <w:t xml:space="preserve">förskrivet inom förmånen inklusive merförtjänst från parallellimport, </w:t>
      </w:r>
      <w:r>
        <w:rPr>
          <w:b/>
          <w:sz w:val="20"/>
          <w:szCs w:val="20"/>
        </w:rPr>
        <w:t>miljoner kr.</w:t>
      </w:r>
    </w:p>
    <w:p w14:paraId="14E89B64" w14:textId="77777777" w:rsidR="00C377B9" w:rsidRPr="00C377B9" w:rsidRDefault="00C377B9" w:rsidP="00C377B9"/>
    <w:tbl>
      <w:tblPr>
        <w:tblStyle w:val="Tabellrutnt"/>
        <w:tblW w:w="907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9"/>
        <w:gridCol w:w="1559"/>
        <w:gridCol w:w="2268"/>
        <w:gridCol w:w="2694"/>
      </w:tblGrid>
      <w:tr w:rsidR="000115C6" w:rsidRPr="00186DD6" w14:paraId="21C3CA26" w14:textId="77777777" w:rsidTr="000115C6">
        <w:trPr>
          <w:trHeight w:val="377"/>
        </w:trPr>
        <w:tc>
          <w:tcPr>
            <w:tcW w:w="993" w:type="dxa"/>
            <w:tcBorders>
              <w:bottom w:val="single" w:sz="4" w:space="0" w:color="auto"/>
            </w:tcBorders>
          </w:tcPr>
          <w:p w14:paraId="6E6BF190" w14:textId="46B9CE7C" w:rsidR="006E15CF" w:rsidRPr="00186DD6" w:rsidRDefault="006E15CF" w:rsidP="00EA420E">
            <w:pPr>
              <w:spacing w:line="276" w:lineRule="auto"/>
              <w:rPr>
                <w:b/>
                <w:sz w:val="20"/>
                <w:szCs w:val="20"/>
              </w:rPr>
            </w:pPr>
            <w:r w:rsidRPr="00186DD6">
              <w:rPr>
                <w:b/>
                <w:sz w:val="20"/>
                <w:szCs w:val="20"/>
              </w:rPr>
              <w:t>År</w:t>
            </w:r>
          </w:p>
        </w:tc>
        <w:tc>
          <w:tcPr>
            <w:tcW w:w="1559" w:type="dxa"/>
            <w:tcBorders>
              <w:left w:val="nil"/>
              <w:bottom w:val="single" w:sz="4" w:space="0" w:color="auto"/>
            </w:tcBorders>
          </w:tcPr>
          <w:p w14:paraId="192C38F0" w14:textId="082AB92A" w:rsidR="006E15CF" w:rsidRPr="00186DD6" w:rsidRDefault="006E15CF" w:rsidP="00EA420E">
            <w:pPr>
              <w:spacing w:line="276" w:lineRule="auto"/>
              <w:rPr>
                <w:b/>
                <w:sz w:val="20"/>
                <w:szCs w:val="20"/>
              </w:rPr>
            </w:pPr>
            <w:r>
              <w:rPr>
                <w:b/>
                <w:sz w:val="20"/>
                <w:szCs w:val="20"/>
              </w:rPr>
              <w:t>Intäkter (a)</w:t>
            </w:r>
            <w:r>
              <w:rPr>
                <w:b/>
                <w:sz w:val="20"/>
                <w:szCs w:val="20"/>
                <w:vertAlign w:val="superscript"/>
              </w:rPr>
              <w:t>1</w:t>
            </w:r>
          </w:p>
        </w:tc>
        <w:tc>
          <w:tcPr>
            <w:tcW w:w="1559" w:type="dxa"/>
            <w:tcBorders>
              <w:bottom w:val="single" w:sz="4" w:space="0" w:color="auto"/>
            </w:tcBorders>
          </w:tcPr>
          <w:p w14:paraId="3E1F1B85" w14:textId="3E989CD2" w:rsidR="006E15CF" w:rsidRPr="00186DD6" w:rsidRDefault="006E15CF" w:rsidP="00EA420E">
            <w:pPr>
              <w:spacing w:line="276" w:lineRule="auto"/>
              <w:rPr>
                <w:b/>
                <w:sz w:val="20"/>
                <w:szCs w:val="20"/>
              </w:rPr>
            </w:pPr>
            <w:r w:rsidRPr="00186DD6">
              <w:rPr>
                <w:b/>
                <w:sz w:val="20"/>
                <w:szCs w:val="20"/>
              </w:rPr>
              <w:t>Kostnader</w:t>
            </w:r>
            <w:r>
              <w:rPr>
                <w:b/>
                <w:sz w:val="20"/>
                <w:szCs w:val="20"/>
              </w:rPr>
              <w:t xml:space="preserve"> (b)</w:t>
            </w:r>
            <w:r w:rsidRPr="00186DD6">
              <w:rPr>
                <w:b/>
                <w:sz w:val="20"/>
                <w:szCs w:val="20"/>
              </w:rPr>
              <w:t xml:space="preserve"> </w:t>
            </w:r>
          </w:p>
        </w:tc>
        <w:tc>
          <w:tcPr>
            <w:tcW w:w="2268" w:type="dxa"/>
            <w:tcBorders>
              <w:bottom w:val="single" w:sz="4" w:space="0" w:color="auto"/>
            </w:tcBorders>
          </w:tcPr>
          <w:p w14:paraId="16513DFA" w14:textId="449ADB0C" w:rsidR="006E15CF" w:rsidRDefault="006E15CF" w:rsidP="00EA420E">
            <w:pPr>
              <w:spacing w:line="276" w:lineRule="auto"/>
              <w:rPr>
                <w:b/>
                <w:sz w:val="20"/>
                <w:szCs w:val="20"/>
              </w:rPr>
            </w:pPr>
            <w:r>
              <w:rPr>
                <w:b/>
                <w:sz w:val="20"/>
                <w:szCs w:val="20"/>
              </w:rPr>
              <w:t>Kapitalkostnader (c)</w:t>
            </w:r>
          </w:p>
        </w:tc>
        <w:tc>
          <w:tcPr>
            <w:tcW w:w="2694" w:type="dxa"/>
            <w:tcBorders>
              <w:bottom w:val="single" w:sz="4" w:space="0" w:color="auto"/>
            </w:tcBorders>
          </w:tcPr>
          <w:p w14:paraId="28D480AE" w14:textId="7A4C8939" w:rsidR="006E15CF" w:rsidRPr="00186DD6" w:rsidRDefault="006E15CF" w:rsidP="00EA420E">
            <w:pPr>
              <w:spacing w:line="276" w:lineRule="auto"/>
              <w:rPr>
                <w:b/>
                <w:sz w:val="20"/>
                <w:szCs w:val="20"/>
              </w:rPr>
            </w:pPr>
            <w:r w:rsidRPr="00186DD6">
              <w:rPr>
                <w:b/>
                <w:sz w:val="20"/>
                <w:szCs w:val="20"/>
              </w:rPr>
              <w:t xml:space="preserve">Nettoresultat </w:t>
            </w:r>
            <w:r>
              <w:rPr>
                <w:b/>
                <w:sz w:val="20"/>
                <w:szCs w:val="20"/>
              </w:rPr>
              <w:t>(a-b-c)</w:t>
            </w:r>
          </w:p>
        </w:tc>
      </w:tr>
      <w:tr w:rsidR="000115C6" w14:paraId="7F4A3C20" w14:textId="77777777" w:rsidTr="000115C6">
        <w:tc>
          <w:tcPr>
            <w:tcW w:w="993" w:type="dxa"/>
            <w:tcBorders>
              <w:top w:val="single" w:sz="4" w:space="0" w:color="auto"/>
            </w:tcBorders>
          </w:tcPr>
          <w:p w14:paraId="6F2EDB0F" w14:textId="756AA331" w:rsidR="006E15CF" w:rsidRPr="00FB0F64" w:rsidRDefault="006E15CF" w:rsidP="001D3B3C">
            <w:pPr>
              <w:spacing w:line="276" w:lineRule="auto"/>
              <w:rPr>
                <w:sz w:val="20"/>
                <w:szCs w:val="20"/>
              </w:rPr>
            </w:pPr>
            <w:r>
              <w:rPr>
                <w:sz w:val="20"/>
                <w:szCs w:val="20"/>
              </w:rPr>
              <w:t>2016</w:t>
            </w:r>
          </w:p>
        </w:tc>
        <w:tc>
          <w:tcPr>
            <w:tcW w:w="1559" w:type="dxa"/>
            <w:tcBorders>
              <w:top w:val="single" w:sz="4" w:space="0" w:color="auto"/>
              <w:left w:val="nil"/>
            </w:tcBorders>
          </w:tcPr>
          <w:p w14:paraId="66C6BDED" w14:textId="7980FB9B" w:rsidR="006E15CF" w:rsidRPr="00FB0F64" w:rsidRDefault="006E15CF" w:rsidP="00B35373">
            <w:pPr>
              <w:spacing w:line="276" w:lineRule="auto"/>
              <w:jc w:val="center"/>
              <w:rPr>
                <w:sz w:val="20"/>
                <w:szCs w:val="20"/>
              </w:rPr>
            </w:pPr>
            <w:r w:rsidRPr="00FB0F64">
              <w:rPr>
                <w:sz w:val="20"/>
                <w:szCs w:val="20"/>
              </w:rPr>
              <w:t xml:space="preserve">4 </w:t>
            </w:r>
            <w:r>
              <w:rPr>
                <w:sz w:val="20"/>
                <w:szCs w:val="20"/>
              </w:rPr>
              <w:t>918</w:t>
            </w:r>
            <w:r w:rsidRPr="00FB0F64">
              <w:rPr>
                <w:sz w:val="20"/>
                <w:szCs w:val="20"/>
              </w:rPr>
              <w:t>,</w:t>
            </w:r>
            <w:r>
              <w:rPr>
                <w:sz w:val="20"/>
                <w:szCs w:val="20"/>
              </w:rPr>
              <w:t>65</w:t>
            </w:r>
          </w:p>
        </w:tc>
        <w:tc>
          <w:tcPr>
            <w:tcW w:w="1559" w:type="dxa"/>
            <w:tcBorders>
              <w:top w:val="single" w:sz="4" w:space="0" w:color="auto"/>
            </w:tcBorders>
          </w:tcPr>
          <w:p w14:paraId="7396C4AF" w14:textId="50910702" w:rsidR="006E15CF" w:rsidRPr="00FB0F64" w:rsidRDefault="006E15CF" w:rsidP="00F71194">
            <w:pPr>
              <w:spacing w:line="276" w:lineRule="auto"/>
              <w:jc w:val="center"/>
              <w:rPr>
                <w:sz w:val="20"/>
                <w:szCs w:val="20"/>
              </w:rPr>
            </w:pPr>
            <w:r w:rsidRPr="00FB0F64">
              <w:rPr>
                <w:sz w:val="20"/>
                <w:szCs w:val="20"/>
              </w:rPr>
              <w:t>5 075,46</w:t>
            </w:r>
          </w:p>
        </w:tc>
        <w:tc>
          <w:tcPr>
            <w:tcW w:w="2268" w:type="dxa"/>
            <w:tcBorders>
              <w:top w:val="single" w:sz="4" w:space="0" w:color="auto"/>
            </w:tcBorders>
          </w:tcPr>
          <w:p w14:paraId="73846394" w14:textId="51038D30" w:rsidR="006E15CF" w:rsidRPr="00FB0F64" w:rsidRDefault="006E15CF" w:rsidP="00F71194">
            <w:pPr>
              <w:spacing w:line="276" w:lineRule="auto"/>
              <w:jc w:val="center"/>
              <w:rPr>
                <w:sz w:val="20"/>
                <w:szCs w:val="20"/>
              </w:rPr>
            </w:pPr>
            <w:r>
              <w:rPr>
                <w:sz w:val="20"/>
                <w:szCs w:val="20"/>
              </w:rPr>
              <w:t>440,21</w:t>
            </w:r>
          </w:p>
        </w:tc>
        <w:tc>
          <w:tcPr>
            <w:tcW w:w="2694" w:type="dxa"/>
            <w:tcBorders>
              <w:top w:val="single" w:sz="4" w:space="0" w:color="auto"/>
            </w:tcBorders>
          </w:tcPr>
          <w:p w14:paraId="2C4430BD" w14:textId="29B8917B" w:rsidR="006E15CF" w:rsidRDefault="006E15CF" w:rsidP="00A062D5">
            <w:pPr>
              <w:spacing w:line="276" w:lineRule="auto"/>
              <w:jc w:val="center"/>
              <w:rPr>
                <w:sz w:val="20"/>
                <w:szCs w:val="20"/>
              </w:rPr>
            </w:pPr>
            <w:r>
              <w:rPr>
                <w:sz w:val="20"/>
                <w:szCs w:val="20"/>
              </w:rPr>
              <w:t>-597,02</w:t>
            </w:r>
          </w:p>
        </w:tc>
      </w:tr>
      <w:tr w:rsidR="000115C6" w14:paraId="53E6578E" w14:textId="77777777" w:rsidTr="000115C6">
        <w:trPr>
          <w:trHeight w:val="185"/>
        </w:trPr>
        <w:tc>
          <w:tcPr>
            <w:tcW w:w="993" w:type="dxa"/>
            <w:tcBorders>
              <w:bottom w:val="single" w:sz="4" w:space="0" w:color="auto"/>
            </w:tcBorders>
          </w:tcPr>
          <w:p w14:paraId="5DF18FE2" w14:textId="17038484" w:rsidR="006E15CF" w:rsidRPr="00FB0F64" w:rsidRDefault="006E15CF" w:rsidP="001D3B3C">
            <w:pPr>
              <w:spacing w:line="276" w:lineRule="auto"/>
              <w:rPr>
                <w:sz w:val="20"/>
                <w:szCs w:val="20"/>
              </w:rPr>
            </w:pPr>
            <w:r>
              <w:rPr>
                <w:sz w:val="20"/>
                <w:szCs w:val="20"/>
              </w:rPr>
              <w:t>2017</w:t>
            </w:r>
          </w:p>
        </w:tc>
        <w:tc>
          <w:tcPr>
            <w:tcW w:w="1559" w:type="dxa"/>
            <w:tcBorders>
              <w:left w:val="nil"/>
              <w:bottom w:val="single" w:sz="4" w:space="0" w:color="auto"/>
            </w:tcBorders>
          </w:tcPr>
          <w:p w14:paraId="1C7F44AF" w14:textId="3C9C41B4" w:rsidR="006E15CF" w:rsidRPr="00FB0F64" w:rsidRDefault="006E15CF" w:rsidP="00B35373">
            <w:pPr>
              <w:spacing w:line="276" w:lineRule="auto"/>
              <w:jc w:val="center"/>
              <w:rPr>
                <w:sz w:val="20"/>
                <w:szCs w:val="20"/>
              </w:rPr>
            </w:pPr>
            <w:r w:rsidRPr="00FB0F64">
              <w:rPr>
                <w:sz w:val="20"/>
                <w:szCs w:val="20"/>
              </w:rPr>
              <w:t>5 144,29</w:t>
            </w:r>
          </w:p>
        </w:tc>
        <w:tc>
          <w:tcPr>
            <w:tcW w:w="1559" w:type="dxa"/>
            <w:tcBorders>
              <w:bottom w:val="single" w:sz="4" w:space="0" w:color="auto"/>
            </w:tcBorders>
          </w:tcPr>
          <w:p w14:paraId="1729BF79" w14:textId="71712402" w:rsidR="006E15CF" w:rsidRPr="00FB0F64" w:rsidRDefault="006E15CF" w:rsidP="00F71194">
            <w:pPr>
              <w:spacing w:line="276" w:lineRule="auto"/>
              <w:jc w:val="center"/>
              <w:rPr>
                <w:sz w:val="20"/>
                <w:szCs w:val="20"/>
              </w:rPr>
            </w:pPr>
            <w:r w:rsidRPr="00FB0F64">
              <w:rPr>
                <w:sz w:val="20"/>
                <w:szCs w:val="20"/>
              </w:rPr>
              <w:t>5 305,78</w:t>
            </w:r>
          </w:p>
        </w:tc>
        <w:tc>
          <w:tcPr>
            <w:tcW w:w="2268" w:type="dxa"/>
            <w:tcBorders>
              <w:bottom w:val="single" w:sz="4" w:space="0" w:color="auto"/>
            </w:tcBorders>
          </w:tcPr>
          <w:p w14:paraId="79A512CF" w14:textId="212903A2" w:rsidR="006E15CF" w:rsidRPr="00FB0F64" w:rsidRDefault="006E15CF" w:rsidP="00F71194">
            <w:pPr>
              <w:spacing w:line="276" w:lineRule="auto"/>
              <w:jc w:val="center"/>
              <w:rPr>
                <w:sz w:val="20"/>
                <w:szCs w:val="20"/>
              </w:rPr>
            </w:pPr>
            <w:r>
              <w:rPr>
                <w:sz w:val="20"/>
                <w:szCs w:val="20"/>
              </w:rPr>
              <w:t>516,32</w:t>
            </w:r>
          </w:p>
        </w:tc>
        <w:tc>
          <w:tcPr>
            <w:tcW w:w="2694" w:type="dxa"/>
            <w:tcBorders>
              <w:bottom w:val="single" w:sz="4" w:space="0" w:color="auto"/>
            </w:tcBorders>
          </w:tcPr>
          <w:p w14:paraId="7C800439" w14:textId="3F8E15B3" w:rsidR="006E15CF" w:rsidRPr="00FB0F64" w:rsidRDefault="006E15CF" w:rsidP="00C44EA5">
            <w:pPr>
              <w:spacing w:line="276" w:lineRule="auto"/>
              <w:jc w:val="center"/>
              <w:rPr>
                <w:sz w:val="20"/>
                <w:szCs w:val="20"/>
              </w:rPr>
            </w:pPr>
            <w:r>
              <w:rPr>
                <w:sz w:val="20"/>
                <w:szCs w:val="20"/>
              </w:rPr>
              <w:t>-677,82</w:t>
            </w:r>
          </w:p>
        </w:tc>
      </w:tr>
    </w:tbl>
    <w:p w14:paraId="29382FD1" w14:textId="2670C4FB" w:rsidR="008447DF" w:rsidRDefault="00C048D1" w:rsidP="00782B02">
      <w:pPr>
        <w:spacing w:before="120" w:line="360" w:lineRule="auto"/>
        <w:rPr>
          <w:sz w:val="20"/>
          <w:szCs w:val="20"/>
        </w:rPr>
      </w:pPr>
      <w:r w:rsidRPr="00C048D1">
        <w:rPr>
          <w:sz w:val="20"/>
          <w:szCs w:val="20"/>
        </w:rPr>
        <w:t>Anm.</w:t>
      </w:r>
      <w:r w:rsidRPr="00C048D1">
        <w:rPr>
          <w:sz w:val="20"/>
          <w:szCs w:val="20"/>
          <w:vertAlign w:val="superscript"/>
        </w:rPr>
        <w:t xml:space="preserve">1 </w:t>
      </w:r>
      <w:r w:rsidRPr="00C048D1">
        <w:rPr>
          <w:sz w:val="20"/>
          <w:szCs w:val="20"/>
        </w:rPr>
        <w:t>Handelsmarginal</w:t>
      </w:r>
      <w:r>
        <w:rPr>
          <w:sz w:val="20"/>
          <w:szCs w:val="20"/>
        </w:rPr>
        <w:t xml:space="preserve"> på förskrivet inom förmån inkl. PI-merförtjänst</w:t>
      </w:r>
      <w:r w:rsidR="00681EA7">
        <w:rPr>
          <w:sz w:val="20"/>
          <w:szCs w:val="20"/>
        </w:rPr>
        <w:t>.</w:t>
      </w:r>
      <w:r w:rsidRPr="00C048D1">
        <w:rPr>
          <w:sz w:val="20"/>
          <w:szCs w:val="20"/>
        </w:rPr>
        <w:t xml:space="preserve"> </w:t>
      </w:r>
    </w:p>
    <w:p w14:paraId="208F44B0" w14:textId="77777777" w:rsidR="00782B02" w:rsidRDefault="00782B02">
      <w:pPr>
        <w:rPr>
          <w:sz w:val="22"/>
          <w:szCs w:val="22"/>
        </w:rPr>
      </w:pPr>
    </w:p>
    <w:p w14:paraId="11B022B0" w14:textId="33F033ED" w:rsidR="00933933" w:rsidRDefault="00782B02">
      <w:pPr>
        <w:rPr>
          <w:sz w:val="22"/>
          <w:szCs w:val="22"/>
        </w:rPr>
      </w:pPr>
      <w:r>
        <w:rPr>
          <w:sz w:val="22"/>
          <w:szCs w:val="22"/>
        </w:rPr>
        <w:t>Ett annat sätt att uttrycka detta är att ange kostnadstäckningen i procent. Enligt tabell 2 var kostnads</w:t>
      </w:r>
      <w:r w:rsidR="00B97B83">
        <w:rPr>
          <w:sz w:val="22"/>
          <w:szCs w:val="22"/>
        </w:rPr>
        <w:t>-</w:t>
      </w:r>
      <w:r>
        <w:rPr>
          <w:sz w:val="22"/>
          <w:szCs w:val="22"/>
        </w:rPr>
        <w:t xml:space="preserve">täckningen inklusive merförtjänst från parallellimport </w:t>
      </w:r>
      <w:r w:rsidR="00641174">
        <w:rPr>
          <w:sz w:val="22"/>
          <w:szCs w:val="22"/>
        </w:rPr>
        <w:t xml:space="preserve">drygt </w:t>
      </w:r>
      <w:r>
        <w:rPr>
          <w:sz w:val="22"/>
          <w:szCs w:val="22"/>
        </w:rPr>
        <w:t xml:space="preserve">89 </w:t>
      </w:r>
      <w:r w:rsidR="00126024">
        <w:rPr>
          <w:sz w:val="22"/>
          <w:szCs w:val="22"/>
        </w:rPr>
        <w:t xml:space="preserve">procent </w:t>
      </w:r>
      <w:r>
        <w:rPr>
          <w:sz w:val="22"/>
          <w:szCs w:val="22"/>
        </w:rPr>
        <w:t xml:space="preserve">år 2016 respektive drygt 88 procent 2017. Detta innebär alltså att kostnadstäckningen understiger 90 procent för båda åren. </w:t>
      </w:r>
      <w:r w:rsidR="00AB4278">
        <w:rPr>
          <w:sz w:val="22"/>
          <w:szCs w:val="22"/>
        </w:rPr>
        <w:t xml:space="preserve">Det kan slutligen tilläggas att denna redovisning avser totalsummor </w:t>
      </w:r>
      <w:r w:rsidR="00CD5F35">
        <w:rPr>
          <w:sz w:val="22"/>
          <w:szCs w:val="22"/>
        </w:rPr>
        <w:t xml:space="preserve">och </w:t>
      </w:r>
      <w:r w:rsidR="00AB4278">
        <w:rPr>
          <w:sz w:val="22"/>
          <w:szCs w:val="22"/>
        </w:rPr>
        <w:t xml:space="preserve">det finns en </w:t>
      </w:r>
      <w:r w:rsidR="00955893">
        <w:rPr>
          <w:sz w:val="22"/>
          <w:szCs w:val="22"/>
        </w:rPr>
        <w:t xml:space="preserve">viss </w:t>
      </w:r>
      <w:r w:rsidR="00AB4278">
        <w:rPr>
          <w:sz w:val="22"/>
          <w:szCs w:val="22"/>
        </w:rPr>
        <w:t>spridning i resultatet för de enskilda bolagen</w:t>
      </w:r>
      <w:r w:rsidR="00C0061C">
        <w:rPr>
          <w:sz w:val="22"/>
          <w:szCs w:val="22"/>
        </w:rPr>
        <w:t xml:space="preserve">, som dock är affärshemligheter varför redovisningen enbart sker på aggregerad nivå. </w:t>
      </w:r>
    </w:p>
    <w:p w14:paraId="03F63212" w14:textId="77777777" w:rsidR="00C0061C" w:rsidRDefault="00C0061C">
      <w:pPr>
        <w:rPr>
          <w:b/>
          <w:sz w:val="20"/>
          <w:szCs w:val="20"/>
        </w:rPr>
      </w:pPr>
    </w:p>
    <w:p w14:paraId="5C9B2D8D" w14:textId="0FEEDB16" w:rsidR="00924AD4" w:rsidRPr="005B4106" w:rsidRDefault="005B4106">
      <w:pPr>
        <w:rPr>
          <w:b/>
          <w:sz w:val="20"/>
          <w:szCs w:val="20"/>
        </w:rPr>
      </w:pPr>
      <w:r w:rsidRPr="005B4106">
        <w:rPr>
          <w:b/>
          <w:sz w:val="20"/>
          <w:szCs w:val="20"/>
        </w:rPr>
        <w:t xml:space="preserve">Tabell </w:t>
      </w:r>
      <w:r w:rsidR="006F3FF0">
        <w:rPr>
          <w:b/>
          <w:sz w:val="20"/>
          <w:szCs w:val="20"/>
        </w:rPr>
        <w:t>2</w:t>
      </w:r>
      <w:r w:rsidRPr="005B4106">
        <w:rPr>
          <w:b/>
          <w:sz w:val="20"/>
          <w:szCs w:val="20"/>
        </w:rPr>
        <w:t xml:space="preserve"> </w:t>
      </w:r>
      <w:r w:rsidR="00BA40D3">
        <w:rPr>
          <w:b/>
          <w:sz w:val="20"/>
          <w:szCs w:val="20"/>
        </w:rPr>
        <w:t>Handelsmarginalen</w:t>
      </w:r>
      <w:r w:rsidR="0090688B">
        <w:rPr>
          <w:b/>
          <w:sz w:val="20"/>
          <w:szCs w:val="20"/>
        </w:rPr>
        <w:t>s</w:t>
      </w:r>
      <w:r w:rsidR="00C222FF">
        <w:rPr>
          <w:b/>
          <w:sz w:val="20"/>
          <w:szCs w:val="20"/>
        </w:rPr>
        <w:t xml:space="preserve"> </w:t>
      </w:r>
      <w:r w:rsidR="0090688B">
        <w:rPr>
          <w:b/>
          <w:sz w:val="20"/>
          <w:szCs w:val="20"/>
        </w:rPr>
        <w:t xml:space="preserve">kostnadstäckning </w:t>
      </w:r>
      <w:r w:rsidR="00BA40D3">
        <w:rPr>
          <w:b/>
          <w:sz w:val="20"/>
          <w:szCs w:val="20"/>
        </w:rPr>
        <w:t xml:space="preserve">på </w:t>
      </w:r>
      <w:r w:rsidRPr="005B4106">
        <w:rPr>
          <w:b/>
          <w:sz w:val="20"/>
          <w:szCs w:val="20"/>
        </w:rPr>
        <w:t xml:space="preserve">förskrivet inom förmånen inklusive merförtjänst från parallellimport </w:t>
      </w:r>
      <w:r w:rsidR="00EB259F">
        <w:rPr>
          <w:b/>
          <w:sz w:val="20"/>
          <w:szCs w:val="20"/>
        </w:rPr>
        <w:t xml:space="preserve">(PI) </w:t>
      </w:r>
      <w:r w:rsidRPr="005B4106">
        <w:rPr>
          <w:b/>
          <w:sz w:val="20"/>
          <w:szCs w:val="20"/>
        </w:rPr>
        <w:t>i relation till hänförliga kostnader, procent</w:t>
      </w:r>
      <w:r w:rsidR="00364FCF">
        <w:rPr>
          <w:b/>
          <w:sz w:val="20"/>
          <w:szCs w:val="20"/>
        </w:rPr>
        <w:t>.</w:t>
      </w:r>
    </w:p>
    <w:p w14:paraId="21D681BB" w14:textId="77777777" w:rsidR="005B4106" w:rsidRDefault="005B4106">
      <w:pPr>
        <w:rPr>
          <w:sz w:val="22"/>
          <w:szCs w:val="22"/>
        </w:rPr>
      </w:pPr>
    </w:p>
    <w:tbl>
      <w:tblPr>
        <w:tblStyle w:val="Tabellrutn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552"/>
        <w:gridCol w:w="1106"/>
      </w:tblGrid>
      <w:tr w:rsidR="00F71194" w:rsidRPr="00EB259F" w14:paraId="0F64D0AF" w14:textId="77777777" w:rsidTr="00F37E1F">
        <w:trPr>
          <w:trHeight w:val="255"/>
        </w:trPr>
        <w:tc>
          <w:tcPr>
            <w:tcW w:w="6385" w:type="dxa"/>
            <w:tcBorders>
              <w:bottom w:val="single" w:sz="4" w:space="0" w:color="auto"/>
            </w:tcBorders>
          </w:tcPr>
          <w:p w14:paraId="0467A475" w14:textId="2584E67D" w:rsidR="00924AD4" w:rsidRPr="00EB259F" w:rsidRDefault="008517F4" w:rsidP="00F37E1F">
            <w:pPr>
              <w:spacing w:line="360" w:lineRule="auto"/>
              <w:rPr>
                <w:b/>
                <w:sz w:val="20"/>
                <w:szCs w:val="20"/>
              </w:rPr>
            </w:pPr>
            <w:r>
              <w:rPr>
                <w:b/>
                <w:sz w:val="20"/>
                <w:szCs w:val="20"/>
              </w:rPr>
              <w:t xml:space="preserve">Handelsmarginalens </w:t>
            </w:r>
            <w:r w:rsidR="00EB259F">
              <w:rPr>
                <w:b/>
                <w:sz w:val="20"/>
                <w:szCs w:val="20"/>
              </w:rPr>
              <w:t>kostnadstäckning</w:t>
            </w:r>
          </w:p>
        </w:tc>
        <w:tc>
          <w:tcPr>
            <w:tcW w:w="1552" w:type="dxa"/>
            <w:tcBorders>
              <w:bottom w:val="single" w:sz="4" w:space="0" w:color="auto"/>
            </w:tcBorders>
          </w:tcPr>
          <w:p w14:paraId="171CCE1C" w14:textId="08FEBCFA" w:rsidR="00924AD4" w:rsidRPr="00EB259F" w:rsidRDefault="00924AD4" w:rsidP="00F37E1F">
            <w:pPr>
              <w:spacing w:line="360" w:lineRule="auto"/>
              <w:jc w:val="center"/>
              <w:rPr>
                <w:b/>
                <w:sz w:val="20"/>
                <w:szCs w:val="20"/>
              </w:rPr>
            </w:pPr>
            <w:r w:rsidRPr="00EB259F">
              <w:rPr>
                <w:b/>
                <w:sz w:val="20"/>
                <w:szCs w:val="20"/>
              </w:rPr>
              <w:t>2016</w:t>
            </w:r>
          </w:p>
        </w:tc>
        <w:tc>
          <w:tcPr>
            <w:tcW w:w="1106" w:type="dxa"/>
            <w:tcBorders>
              <w:bottom w:val="single" w:sz="4" w:space="0" w:color="auto"/>
            </w:tcBorders>
          </w:tcPr>
          <w:p w14:paraId="471BC517" w14:textId="2FA46D62" w:rsidR="00924AD4" w:rsidRPr="00EB259F" w:rsidRDefault="00924AD4" w:rsidP="00F37E1F">
            <w:pPr>
              <w:spacing w:line="360" w:lineRule="auto"/>
              <w:jc w:val="center"/>
              <w:rPr>
                <w:b/>
                <w:sz w:val="20"/>
                <w:szCs w:val="20"/>
              </w:rPr>
            </w:pPr>
            <w:r w:rsidRPr="00EB259F">
              <w:rPr>
                <w:b/>
                <w:sz w:val="20"/>
                <w:szCs w:val="20"/>
              </w:rPr>
              <w:t>2017</w:t>
            </w:r>
          </w:p>
        </w:tc>
      </w:tr>
      <w:tr w:rsidR="00F71194" w:rsidRPr="00EB259F" w14:paraId="62FF83F8" w14:textId="77777777" w:rsidTr="00F37E1F">
        <w:trPr>
          <w:trHeight w:val="283"/>
        </w:trPr>
        <w:tc>
          <w:tcPr>
            <w:tcW w:w="6385" w:type="dxa"/>
            <w:tcBorders>
              <w:top w:val="single" w:sz="4" w:space="0" w:color="auto"/>
              <w:bottom w:val="single" w:sz="4" w:space="0" w:color="auto"/>
            </w:tcBorders>
          </w:tcPr>
          <w:p w14:paraId="29A68E6F" w14:textId="1AACB8A3" w:rsidR="00924AD4" w:rsidRPr="00EB259F" w:rsidRDefault="002622C3" w:rsidP="00F37E1F">
            <w:pPr>
              <w:spacing w:line="360" w:lineRule="auto"/>
              <w:rPr>
                <w:sz w:val="20"/>
                <w:szCs w:val="20"/>
              </w:rPr>
            </w:pPr>
            <w:r w:rsidRPr="00EB259F">
              <w:rPr>
                <w:sz w:val="20"/>
                <w:szCs w:val="20"/>
              </w:rPr>
              <w:t>Kostnadstäckning inkl</w:t>
            </w:r>
            <w:r w:rsidR="00E010DC" w:rsidRPr="00EB259F">
              <w:rPr>
                <w:sz w:val="20"/>
                <w:szCs w:val="20"/>
              </w:rPr>
              <w:t>usive</w:t>
            </w:r>
            <w:r w:rsidRPr="00EB259F">
              <w:rPr>
                <w:sz w:val="20"/>
                <w:szCs w:val="20"/>
              </w:rPr>
              <w:t xml:space="preserve"> PI </w:t>
            </w:r>
            <w:r w:rsidR="008517F4" w:rsidRPr="00AD7D2E">
              <w:rPr>
                <w:sz w:val="20"/>
                <w:szCs w:val="20"/>
              </w:rPr>
              <w:t xml:space="preserve">efter </w:t>
            </w:r>
            <w:r w:rsidRPr="00EB259F">
              <w:rPr>
                <w:sz w:val="20"/>
                <w:szCs w:val="20"/>
              </w:rPr>
              <w:t>kapitalkostnader</w:t>
            </w:r>
          </w:p>
        </w:tc>
        <w:tc>
          <w:tcPr>
            <w:tcW w:w="1552" w:type="dxa"/>
            <w:tcBorders>
              <w:top w:val="single" w:sz="4" w:space="0" w:color="auto"/>
              <w:bottom w:val="single" w:sz="4" w:space="0" w:color="auto"/>
            </w:tcBorders>
          </w:tcPr>
          <w:p w14:paraId="75B30F63" w14:textId="383698F5" w:rsidR="00924AD4" w:rsidRPr="00EB259F" w:rsidRDefault="004C746C" w:rsidP="00F37E1F">
            <w:pPr>
              <w:spacing w:line="360" w:lineRule="auto"/>
              <w:jc w:val="center"/>
              <w:rPr>
                <w:sz w:val="20"/>
                <w:szCs w:val="20"/>
              </w:rPr>
            </w:pPr>
            <w:r w:rsidRPr="00EB259F">
              <w:rPr>
                <w:sz w:val="20"/>
                <w:szCs w:val="20"/>
              </w:rPr>
              <w:t>8</w:t>
            </w:r>
            <w:r w:rsidR="004A3AC3">
              <w:rPr>
                <w:sz w:val="20"/>
                <w:szCs w:val="20"/>
              </w:rPr>
              <w:t>9</w:t>
            </w:r>
            <w:r w:rsidRPr="00EB259F">
              <w:rPr>
                <w:sz w:val="20"/>
                <w:szCs w:val="20"/>
              </w:rPr>
              <w:t>,</w:t>
            </w:r>
            <w:r w:rsidR="004A3AC3">
              <w:rPr>
                <w:sz w:val="20"/>
                <w:szCs w:val="20"/>
              </w:rPr>
              <w:t>18</w:t>
            </w:r>
          </w:p>
        </w:tc>
        <w:tc>
          <w:tcPr>
            <w:tcW w:w="1106" w:type="dxa"/>
            <w:tcBorders>
              <w:top w:val="single" w:sz="4" w:space="0" w:color="auto"/>
              <w:bottom w:val="single" w:sz="4" w:space="0" w:color="auto"/>
            </w:tcBorders>
          </w:tcPr>
          <w:p w14:paraId="71624BB6" w14:textId="62757F70" w:rsidR="00924AD4" w:rsidRPr="00EB259F" w:rsidRDefault="00E010DC" w:rsidP="00F37E1F">
            <w:pPr>
              <w:spacing w:line="360" w:lineRule="auto"/>
              <w:jc w:val="center"/>
              <w:rPr>
                <w:sz w:val="20"/>
                <w:szCs w:val="20"/>
              </w:rPr>
            </w:pPr>
            <w:r w:rsidRPr="00EB259F">
              <w:rPr>
                <w:sz w:val="20"/>
                <w:szCs w:val="20"/>
              </w:rPr>
              <w:t>88,36</w:t>
            </w:r>
          </w:p>
        </w:tc>
      </w:tr>
    </w:tbl>
    <w:p w14:paraId="63840B06" w14:textId="2904CB73" w:rsidR="0061029A" w:rsidRPr="00FD4625" w:rsidRDefault="00F37E1F" w:rsidP="00AB4278">
      <w:pPr>
        <w:rPr>
          <w:sz w:val="22"/>
          <w:szCs w:val="22"/>
        </w:rPr>
      </w:pPr>
      <w:r>
        <w:rPr>
          <w:sz w:val="22"/>
          <w:szCs w:val="22"/>
        </w:rPr>
        <w:br w:type="textWrapping" w:clear="all"/>
      </w:r>
    </w:p>
    <w:sectPr w:rsidR="0061029A" w:rsidRPr="00FD4625" w:rsidSect="00186DD6">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7370" w14:textId="77777777" w:rsidR="00F0160C" w:rsidRDefault="00F0160C" w:rsidP="002F2B27">
      <w:r>
        <w:separator/>
      </w:r>
    </w:p>
  </w:endnote>
  <w:endnote w:type="continuationSeparator" w:id="0">
    <w:p w14:paraId="4ADFD77A" w14:textId="77777777" w:rsidR="00F0160C" w:rsidRDefault="00F0160C" w:rsidP="002F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62D2" w14:textId="1A677D72" w:rsidR="00840848" w:rsidRPr="00840848" w:rsidRDefault="00840848" w:rsidP="00840848">
    <w:pPr>
      <w:pStyle w:val="Sidfot"/>
      <w:jc w:val="right"/>
      <w:rPr>
        <w:rFonts w:ascii="Arial" w:hAnsi="Arial" w:cs="Arial"/>
        <w:sz w:val="20"/>
        <w:szCs w:val="20"/>
      </w:rPr>
    </w:pPr>
    <w:r w:rsidRPr="00840848">
      <w:rPr>
        <w:rStyle w:val="Sidnummer"/>
        <w:rFonts w:ascii="Arial" w:hAnsi="Arial" w:cs="Arial"/>
        <w:sz w:val="20"/>
        <w:szCs w:val="20"/>
      </w:rPr>
      <w:fldChar w:fldCharType="begin"/>
    </w:r>
    <w:r w:rsidRPr="00840848">
      <w:rPr>
        <w:rStyle w:val="Sidnummer"/>
        <w:rFonts w:ascii="Arial" w:hAnsi="Arial" w:cs="Arial"/>
        <w:sz w:val="20"/>
        <w:szCs w:val="20"/>
      </w:rPr>
      <w:instrText xml:space="preserve"> PAGE </w:instrText>
    </w:r>
    <w:r w:rsidRPr="00840848">
      <w:rPr>
        <w:rStyle w:val="Sidnummer"/>
        <w:rFonts w:ascii="Arial" w:hAnsi="Arial" w:cs="Arial"/>
        <w:sz w:val="20"/>
        <w:szCs w:val="20"/>
      </w:rPr>
      <w:fldChar w:fldCharType="separate"/>
    </w:r>
    <w:r w:rsidR="00480590">
      <w:rPr>
        <w:rStyle w:val="Sidnummer"/>
        <w:rFonts w:ascii="Arial" w:hAnsi="Arial" w:cs="Arial"/>
        <w:noProof/>
        <w:sz w:val="20"/>
        <w:szCs w:val="20"/>
      </w:rPr>
      <w:t>1</w:t>
    </w:r>
    <w:r w:rsidRPr="00840848">
      <w:rPr>
        <w:rStyle w:val="Sid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A3B6" w14:textId="77777777" w:rsidR="00F0160C" w:rsidRDefault="00F0160C" w:rsidP="002F2B27">
      <w:r>
        <w:separator/>
      </w:r>
    </w:p>
  </w:footnote>
  <w:footnote w:type="continuationSeparator" w:id="0">
    <w:p w14:paraId="388B05CA" w14:textId="77777777" w:rsidR="00F0160C" w:rsidRDefault="00F0160C" w:rsidP="002F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7D6F" w14:textId="129EA2B9" w:rsidR="00FE0060" w:rsidRDefault="00FD4625" w:rsidP="002F2B27">
    <w:pPr>
      <w:pStyle w:val="Sidhuvud"/>
      <w:rPr>
        <w:rFonts w:asciiTheme="majorHAnsi" w:hAnsiTheme="majorHAnsi"/>
        <w:b/>
        <w:sz w:val="20"/>
        <w:szCs w:val="20"/>
      </w:rPr>
    </w:pPr>
    <w:r w:rsidRPr="002F2B27">
      <w:rPr>
        <w:rFonts w:asciiTheme="majorHAnsi" w:hAnsiTheme="majorHAnsi"/>
        <w:b/>
        <w:sz w:val="20"/>
        <w:szCs w:val="20"/>
      </w:rPr>
      <w:t>Promemori</w:t>
    </w:r>
    <w:r w:rsidR="0061029A">
      <w:rPr>
        <w:rFonts w:asciiTheme="majorHAnsi" w:hAnsiTheme="majorHAnsi"/>
        <w:b/>
        <w:sz w:val="20"/>
        <w:szCs w:val="20"/>
      </w:rPr>
      <w:t>a</w:t>
    </w:r>
    <w:r w:rsidR="0061029A">
      <w:rPr>
        <w:rFonts w:asciiTheme="majorHAnsi" w:hAnsiTheme="majorHAnsi"/>
        <w:b/>
        <w:sz w:val="20"/>
        <w:szCs w:val="20"/>
      </w:rPr>
      <w:tab/>
    </w:r>
    <w:r w:rsidR="0061029A">
      <w:rPr>
        <w:rFonts w:asciiTheme="majorHAnsi" w:hAnsiTheme="majorHAnsi"/>
        <w:b/>
        <w:sz w:val="20"/>
        <w:szCs w:val="20"/>
      </w:rPr>
      <w:tab/>
    </w:r>
    <w:r w:rsidR="0061029A">
      <w:rPr>
        <w:rFonts w:asciiTheme="majorHAnsi" w:hAnsiTheme="majorHAnsi"/>
        <w:b/>
        <w:noProof/>
        <w:sz w:val="20"/>
        <w:szCs w:val="20"/>
      </w:rPr>
      <w:drawing>
        <wp:inline distT="0" distB="0" distL="0" distR="0" wp14:anchorId="62FA62D6" wp14:editId="5DAAE10E">
          <wp:extent cx="1805940" cy="42244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ogotype-RGB (kopia).jpg"/>
                  <pic:cNvPicPr/>
                </pic:nvPicPr>
                <pic:blipFill>
                  <a:blip r:embed="rId1"/>
                  <a:stretch>
                    <a:fillRect/>
                  </a:stretch>
                </pic:blipFill>
                <pic:spPr>
                  <a:xfrm>
                    <a:off x="0" y="0"/>
                    <a:ext cx="1820258" cy="425791"/>
                  </a:xfrm>
                  <a:prstGeom prst="rect">
                    <a:avLst/>
                  </a:prstGeom>
                </pic:spPr>
              </pic:pic>
            </a:graphicData>
          </a:graphic>
        </wp:inline>
      </w:drawing>
    </w:r>
  </w:p>
  <w:p w14:paraId="2EFB0532" w14:textId="27B17687" w:rsidR="00FD4625" w:rsidRDefault="00FE0060" w:rsidP="002F2B27">
    <w:pPr>
      <w:pStyle w:val="Sidhuvud"/>
      <w:rPr>
        <w:rFonts w:asciiTheme="majorHAnsi" w:hAnsiTheme="majorHAnsi"/>
        <w:sz w:val="20"/>
        <w:szCs w:val="20"/>
      </w:rPr>
    </w:pPr>
    <w:r>
      <w:rPr>
        <w:rFonts w:asciiTheme="majorHAnsi" w:hAnsiTheme="majorHAnsi"/>
        <w:sz w:val="20"/>
        <w:szCs w:val="20"/>
      </w:rPr>
      <w:t>20</w:t>
    </w:r>
    <w:r w:rsidR="00840848">
      <w:rPr>
        <w:rFonts w:asciiTheme="majorHAnsi" w:hAnsiTheme="majorHAnsi"/>
        <w:sz w:val="20"/>
        <w:szCs w:val="20"/>
      </w:rPr>
      <w:fldChar w:fldCharType="begin"/>
    </w:r>
    <w:r w:rsidR="00840848">
      <w:rPr>
        <w:rFonts w:asciiTheme="majorHAnsi" w:hAnsiTheme="majorHAnsi"/>
        <w:sz w:val="20"/>
        <w:szCs w:val="20"/>
      </w:rPr>
      <w:instrText xml:space="preserve"> DATE \@ "y-MM-dd" </w:instrText>
    </w:r>
    <w:r w:rsidR="00840848">
      <w:rPr>
        <w:rFonts w:asciiTheme="majorHAnsi" w:hAnsiTheme="majorHAnsi"/>
        <w:sz w:val="20"/>
        <w:szCs w:val="20"/>
      </w:rPr>
      <w:fldChar w:fldCharType="separate"/>
    </w:r>
    <w:r w:rsidR="00DD0229">
      <w:rPr>
        <w:rFonts w:asciiTheme="majorHAnsi" w:hAnsiTheme="majorHAnsi"/>
        <w:noProof/>
        <w:sz w:val="20"/>
        <w:szCs w:val="20"/>
      </w:rPr>
      <w:t>18-11-19</w:t>
    </w:r>
    <w:r w:rsidR="00840848">
      <w:rPr>
        <w:rFonts w:asciiTheme="majorHAnsi" w:hAnsiTheme="majorHAnsi"/>
        <w:sz w:val="20"/>
        <w:szCs w:val="20"/>
      </w:rPr>
      <w:fldChar w:fldCharType="end"/>
    </w:r>
  </w:p>
  <w:p w14:paraId="323408F5" w14:textId="77777777" w:rsidR="00B558DD" w:rsidRDefault="00B558DD" w:rsidP="002F2B27">
    <w:pPr>
      <w:pStyle w:val="Sidhuvud"/>
      <w:rPr>
        <w:rFonts w:asciiTheme="majorHAnsi" w:hAnsiTheme="majorHAnsi"/>
        <w:sz w:val="20"/>
        <w:szCs w:val="20"/>
      </w:rPr>
    </w:pPr>
  </w:p>
  <w:p w14:paraId="52D4206D" w14:textId="3EA345D8" w:rsidR="00782B02" w:rsidRDefault="00FE0060" w:rsidP="002F2B27">
    <w:pPr>
      <w:pStyle w:val="Sidhuvud"/>
      <w:rPr>
        <w:rFonts w:asciiTheme="majorHAnsi" w:hAnsiTheme="majorHAnsi"/>
        <w:sz w:val="20"/>
        <w:szCs w:val="20"/>
      </w:rPr>
    </w:pPr>
    <w:r>
      <w:rPr>
        <w:rFonts w:asciiTheme="majorHAnsi" w:hAnsiTheme="majorHAnsi"/>
        <w:sz w:val="20"/>
        <w:szCs w:val="20"/>
      </w:rPr>
      <w:t xml:space="preserve">Björn </w:t>
    </w:r>
    <w:proofErr w:type="spellStart"/>
    <w:r>
      <w:rPr>
        <w:rFonts w:asciiTheme="majorHAnsi" w:hAnsiTheme="majorHAnsi"/>
        <w:sz w:val="20"/>
        <w:szCs w:val="20"/>
      </w:rPr>
      <w:t>Falkenhall</w:t>
    </w:r>
    <w:proofErr w:type="spellEnd"/>
    <w:r w:rsidR="0061029A">
      <w:rPr>
        <w:rFonts w:asciiTheme="majorHAnsi" w:hAnsiTheme="majorHAnsi"/>
        <w:sz w:val="20"/>
        <w:szCs w:val="20"/>
      </w:rPr>
      <w:t>, c</w:t>
    </w:r>
    <w:r>
      <w:rPr>
        <w:rFonts w:asciiTheme="majorHAnsi" w:hAnsiTheme="majorHAnsi"/>
        <w:sz w:val="20"/>
        <w:szCs w:val="20"/>
      </w:rPr>
      <w:t>hefsekonom</w:t>
    </w:r>
  </w:p>
  <w:p w14:paraId="2EECC7B8" w14:textId="77777777" w:rsidR="00782B02" w:rsidRDefault="00782B02" w:rsidP="002F2B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E6CDC"/>
    <w:multiLevelType w:val="hybridMultilevel"/>
    <w:tmpl w:val="16924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4F"/>
    <w:rsid w:val="000115C6"/>
    <w:rsid w:val="00070E34"/>
    <w:rsid w:val="00081854"/>
    <w:rsid w:val="0008221C"/>
    <w:rsid w:val="000E65CD"/>
    <w:rsid w:val="000F0B14"/>
    <w:rsid w:val="00126024"/>
    <w:rsid w:val="00143471"/>
    <w:rsid w:val="00186DD6"/>
    <w:rsid w:val="001A2F5B"/>
    <w:rsid w:val="001B4DAD"/>
    <w:rsid w:val="001D3B3C"/>
    <w:rsid w:val="00207810"/>
    <w:rsid w:val="00234F45"/>
    <w:rsid w:val="002408DC"/>
    <w:rsid w:val="002534D8"/>
    <w:rsid w:val="002622C3"/>
    <w:rsid w:val="002927B8"/>
    <w:rsid w:val="002C03F1"/>
    <w:rsid w:val="002D0590"/>
    <w:rsid w:val="002D21D8"/>
    <w:rsid w:val="002E1F99"/>
    <w:rsid w:val="002F2B27"/>
    <w:rsid w:val="00364FCF"/>
    <w:rsid w:val="00365FC3"/>
    <w:rsid w:val="00370930"/>
    <w:rsid w:val="00381B61"/>
    <w:rsid w:val="003A3F9A"/>
    <w:rsid w:val="003A6E43"/>
    <w:rsid w:val="003D16BE"/>
    <w:rsid w:val="003D3BC0"/>
    <w:rsid w:val="00435B88"/>
    <w:rsid w:val="00442E74"/>
    <w:rsid w:val="00452911"/>
    <w:rsid w:val="004754F2"/>
    <w:rsid w:val="00480590"/>
    <w:rsid w:val="004A3AC3"/>
    <w:rsid w:val="004B3BF6"/>
    <w:rsid w:val="004B5F0C"/>
    <w:rsid w:val="004C1D49"/>
    <w:rsid w:val="004C746C"/>
    <w:rsid w:val="004D0431"/>
    <w:rsid w:val="00535C80"/>
    <w:rsid w:val="005648A3"/>
    <w:rsid w:val="005800FB"/>
    <w:rsid w:val="0058096F"/>
    <w:rsid w:val="00590E59"/>
    <w:rsid w:val="005A2AD0"/>
    <w:rsid w:val="005B4106"/>
    <w:rsid w:val="005C11CB"/>
    <w:rsid w:val="005F028A"/>
    <w:rsid w:val="0061029A"/>
    <w:rsid w:val="00616F80"/>
    <w:rsid w:val="00630586"/>
    <w:rsid w:val="00641174"/>
    <w:rsid w:val="006752FA"/>
    <w:rsid w:val="00681EA7"/>
    <w:rsid w:val="006A1868"/>
    <w:rsid w:val="006B0D20"/>
    <w:rsid w:val="006B1F3D"/>
    <w:rsid w:val="006B2780"/>
    <w:rsid w:val="006B5362"/>
    <w:rsid w:val="006C3BCD"/>
    <w:rsid w:val="006D4EF0"/>
    <w:rsid w:val="006E00DA"/>
    <w:rsid w:val="006E15CF"/>
    <w:rsid w:val="006E2CD7"/>
    <w:rsid w:val="006F3FF0"/>
    <w:rsid w:val="006F784B"/>
    <w:rsid w:val="00700363"/>
    <w:rsid w:val="0071073C"/>
    <w:rsid w:val="00721BB9"/>
    <w:rsid w:val="00762BF4"/>
    <w:rsid w:val="007709AD"/>
    <w:rsid w:val="00782B02"/>
    <w:rsid w:val="00793FAA"/>
    <w:rsid w:val="007971C5"/>
    <w:rsid w:val="0079723F"/>
    <w:rsid w:val="007A11C5"/>
    <w:rsid w:val="007A6E31"/>
    <w:rsid w:val="007B133A"/>
    <w:rsid w:val="007C0155"/>
    <w:rsid w:val="007D274F"/>
    <w:rsid w:val="00806DD7"/>
    <w:rsid w:val="00840848"/>
    <w:rsid w:val="008447DF"/>
    <w:rsid w:val="008517F4"/>
    <w:rsid w:val="00875D7A"/>
    <w:rsid w:val="0088092D"/>
    <w:rsid w:val="00893167"/>
    <w:rsid w:val="008B5525"/>
    <w:rsid w:val="008B7BAB"/>
    <w:rsid w:val="008C59E3"/>
    <w:rsid w:val="00901DE6"/>
    <w:rsid w:val="0090688B"/>
    <w:rsid w:val="0091193C"/>
    <w:rsid w:val="00924AD4"/>
    <w:rsid w:val="00933933"/>
    <w:rsid w:val="00955893"/>
    <w:rsid w:val="00966084"/>
    <w:rsid w:val="00973650"/>
    <w:rsid w:val="009B0F25"/>
    <w:rsid w:val="009B502B"/>
    <w:rsid w:val="009D51E4"/>
    <w:rsid w:val="009E295A"/>
    <w:rsid w:val="00A062D5"/>
    <w:rsid w:val="00A23B60"/>
    <w:rsid w:val="00A27281"/>
    <w:rsid w:val="00A567DA"/>
    <w:rsid w:val="00A63992"/>
    <w:rsid w:val="00A7222A"/>
    <w:rsid w:val="00A84579"/>
    <w:rsid w:val="00AB4278"/>
    <w:rsid w:val="00AB5F9A"/>
    <w:rsid w:val="00AD7D2E"/>
    <w:rsid w:val="00AE5E6A"/>
    <w:rsid w:val="00B35373"/>
    <w:rsid w:val="00B558DD"/>
    <w:rsid w:val="00B569E4"/>
    <w:rsid w:val="00B76A79"/>
    <w:rsid w:val="00B97B83"/>
    <w:rsid w:val="00BA40D3"/>
    <w:rsid w:val="00BB559D"/>
    <w:rsid w:val="00BE71A2"/>
    <w:rsid w:val="00C0061C"/>
    <w:rsid w:val="00C048D1"/>
    <w:rsid w:val="00C222FF"/>
    <w:rsid w:val="00C26D73"/>
    <w:rsid w:val="00C30415"/>
    <w:rsid w:val="00C377B9"/>
    <w:rsid w:val="00C44EA5"/>
    <w:rsid w:val="00C57F0D"/>
    <w:rsid w:val="00C90EE9"/>
    <w:rsid w:val="00C92080"/>
    <w:rsid w:val="00CA1C03"/>
    <w:rsid w:val="00CB0C33"/>
    <w:rsid w:val="00CC3BD9"/>
    <w:rsid w:val="00CD302F"/>
    <w:rsid w:val="00CD5F35"/>
    <w:rsid w:val="00D04112"/>
    <w:rsid w:val="00D41A08"/>
    <w:rsid w:val="00D61403"/>
    <w:rsid w:val="00D8213C"/>
    <w:rsid w:val="00D82C28"/>
    <w:rsid w:val="00DC3F3F"/>
    <w:rsid w:val="00DD0229"/>
    <w:rsid w:val="00DE2BAF"/>
    <w:rsid w:val="00E010DC"/>
    <w:rsid w:val="00E018C0"/>
    <w:rsid w:val="00E22622"/>
    <w:rsid w:val="00E345B7"/>
    <w:rsid w:val="00E45785"/>
    <w:rsid w:val="00E669A7"/>
    <w:rsid w:val="00E66B63"/>
    <w:rsid w:val="00E73EBE"/>
    <w:rsid w:val="00EA09F0"/>
    <w:rsid w:val="00EA420E"/>
    <w:rsid w:val="00EA610C"/>
    <w:rsid w:val="00EB259F"/>
    <w:rsid w:val="00EB356E"/>
    <w:rsid w:val="00EB5536"/>
    <w:rsid w:val="00F00F74"/>
    <w:rsid w:val="00F0160C"/>
    <w:rsid w:val="00F1350E"/>
    <w:rsid w:val="00F164E5"/>
    <w:rsid w:val="00F37E1F"/>
    <w:rsid w:val="00F5011C"/>
    <w:rsid w:val="00F71194"/>
    <w:rsid w:val="00F92E3C"/>
    <w:rsid w:val="00FB0F64"/>
    <w:rsid w:val="00FB7263"/>
    <w:rsid w:val="00FC3B32"/>
    <w:rsid w:val="00FC5F41"/>
    <w:rsid w:val="00FD4625"/>
    <w:rsid w:val="00FE0060"/>
    <w:rsid w:val="00FF5013"/>
    <w:rsid w:val="00FF6F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920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D4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2B27"/>
    <w:pPr>
      <w:tabs>
        <w:tab w:val="center" w:pos="4536"/>
        <w:tab w:val="right" w:pos="9072"/>
      </w:tabs>
    </w:pPr>
  </w:style>
  <w:style w:type="character" w:customStyle="1" w:styleId="SidhuvudChar">
    <w:name w:val="Sidhuvud Char"/>
    <w:basedOn w:val="Standardstycketeckensnitt"/>
    <w:link w:val="Sidhuvud"/>
    <w:uiPriority w:val="99"/>
    <w:rsid w:val="002F2B27"/>
  </w:style>
  <w:style w:type="paragraph" w:styleId="Sidfot">
    <w:name w:val="footer"/>
    <w:basedOn w:val="Normal"/>
    <w:link w:val="SidfotChar"/>
    <w:uiPriority w:val="99"/>
    <w:unhideWhenUsed/>
    <w:rsid w:val="002F2B27"/>
    <w:pPr>
      <w:tabs>
        <w:tab w:val="center" w:pos="4536"/>
        <w:tab w:val="right" w:pos="9072"/>
      </w:tabs>
    </w:pPr>
  </w:style>
  <w:style w:type="character" w:customStyle="1" w:styleId="SidfotChar">
    <w:name w:val="Sidfot Char"/>
    <w:basedOn w:val="Standardstycketeckensnitt"/>
    <w:link w:val="Sidfot"/>
    <w:uiPriority w:val="99"/>
    <w:rsid w:val="002F2B27"/>
  </w:style>
  <w:style w:type="character" w:customStyle="1" w:styleId="Rubrik2Char">
    <w:name w:val="Rubrik 2 Char"/>
    <w:basedOn w:val="Standardstycketeckensnitt"/>
    <w:link w:val="Rubrik2"/>
    <w:uiPriority w:val="9"/>
    <w:rsid w:val="00FD4625"/>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FD4625"/>
    <w:rPr>
      <w:b/>
      <w:bCs/>
      <w:i/>
      <w:iCs/>
      <w:color w:val="4F81BD" w:themeColor="accent1"/>
    </w:rPr>
  </w:style>
  <w:style w:type="paragraph" w:styleId="Underrubrik">
    <w:name w:val="Subtitle"/>
    <w:basedOn w:val="Normal"/>
    <w:next w:val="Normal"/>
    <w:link w:val="UnderrubrikChar"/>
    <w:uiPriority w:val="11"/>
    <w:qFormat/>
    <w:rsid w:val="00FD4625"/>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FD4625"/>
    <w:rPr>
      <w:rFonts w:asciiTheme="majorHAnsi" w:eastAsiaTheme="majorEastAsia" w:hAnsiTheme="majorHAnsi" w:cstheme="majorBidi"/>
      <w:i/>
      <w:iCs/>
      <w:color w:val="4F81BD" w:themeColor="accent1"/>
      <w:spacing w:val="15"/>
    </w:rPr>
  </w:style>
  <w:style w:type="paragraph" w:styleId="Liststycke">
    <w:name w:val="List Paragraph"/>
    <w:basedOn w:val="Normal"/>
    <w:uiPriority w:val="34"/>
    <w:qFormat/>
    <w:rsid w:val="00840848"/>
    <w:pPr>
      <w:ind w:left="720"/>
      <w:contextualSpacing/>
    </w:pPr>
  </w:style>
  <w:style w:type="character" w:styleId="Sidnummer">
    <w:name w:val="page number"/>
    <w:basedOn w:val="Standardstycketeckensnitt"/>
    <w:uiPriority w:val="99"/>
    <w:semiHidden/>
    <w:unhideWhenUsed/>
    <w:rsid w:val="00840848"/>
  </w:style>
  <w:style w:type="table" w:styleId="Tabellrutnt">
    <w:name w:val="Table Grid"/>
    <w:basedOn w:val="Normaltabell"/>
    <w:uiPriority w:val="59"/>
    <w:rsid w:val="0092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F92E3C"/>
  </w:style>
  <w:style w:type="character" w:customStyle="1" w:styleId="FotnotstextChar">
    <w:name w:val="Fotnotstext Char"/>
    <w:basedOn w:val="Standardstycketeckensnitt"/>
    <w:link w:val="Fotnotstext"/>
    <w:uiPriority w:val="99"/>
    <w:rsid w:val="00F92E3C"/>
  </w:style>
  <w:style w:type="character" w:styleId="Fotnotsreferens">
    <w:name w:val="footnote reference"/>
    <w:basedOn w:val="Standardstycketeckensnitt"/>
    <w:uiPriority w:val="99"/>
    <w:unhideWhenUsed/>
    <w:rsid w:val="00F92E3C"/>
    <w:rPr>
      <w:vertAlign w:val="superscript"/>
    </w:rPr>
  </w:style>
  <w:style w:type="character" w:customStyle="1" w:styleId="apple-converted-space">
    <w:name w:val="apple-converted-space"/>
    <w:basedOn w:val="Standardstycketeckensnitt"/>
    <w:rsid w:val="00070E34"/>
  </w:style>
  <w:style w:type="character" w:styleId="Stark">
    <w:name w:val="Strong"/>
    <w:basedOn w:val="Standardstycketeckensnitt"/>
    <w:uiPriority w:val="22"/>
    <w:qFormat/>
    <w:rsid w:val="00D8213C"/>
    <w:rPr>
      <w:b/>
      <w:bCs/>
    </w:rPr>
  </w:style>
  <w:style w:type="paragraph" w:styleId="Ballongtext">
    <w:name w:val="Balloon Text"/>
    <w:basedOn w:val="Normal"/>
    <w:link w:val="BallongtextChar"/>
    <w:uiPriority w:val="99"/>
    <w:semiHidden/>
    <w:unhideWhenUsed/>
    <w:rsid w:val="0014347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434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38894">
      <w:bodyDiv w:val="1"/>
      <w:marLeft w:val="0"/>
      <w:marRight w:val="0"/>
      <w:marTop w:val="0"/>
      <w:marBottom w:val="0"/>
      <w:divBdr>
        <w:top w:val="none" w:sz="0" w:space="0" w:color="auto"/>
        <w:left w:val="none" w:sz="0" w:space="0" w:color="auto"/>
        <w:bottom w:val="none" w:sz="0" w:space="0" w:color="auto"/>
        <w:right w:val="none" w:sz="0" w:space="0" w:color="auto"/>
      </w:divBdr>
      <w:divsChild>
        <w:div w:id="944768206">
          <w:marLeft w:val="0"/>
          <w:marRight w:val="0"/>
          <w:marTop w:val="0"/>
          <w:marBottom w:val="0"/>
          <w:divBdr>
            <w:top w:val="none" w:sz="0" w:space="0" w:color="auto"/>
            <w:left w:val="none" w:sz="0" w:space="0" w:color="auto"/>
            <w:bottom w:val="none" w:sz="0" w:space="0" w:color="auto"/>
            <w:right w:val="none" w:sz="0" w:space="0" w:color="auto"/>
          </w:divBdr>
          <w:divsChild>
            <w:div w:id="388461397">
              <w:marLeft w:val="0"/>
              <w:marRight w:val="0"/>
              <w:marTop w:val="0"/>
              <w:marBottom w:val="0"/>
              <w:divBdr>
                <w:top w:val="none" w:sz="0" w:space="0" w:color="auto"/>
                <w:left w:val="none" w:sz="0" w:space="0" w:color="auto"/>
                <w:bottom w:val="none" w:sz="0" w:space="0" w:color="auto"/>
                <w:right w:val="none" w:sz="0" w:space="0" w:color="auto"/>
              </w:divBdr>
              <w:divsChild>
                <w:div w:id="615672913">
                  <w:marLeft w:val="0"/>
                  <w:marRight w:val="0"/>
                  <w:marTop w:val="0"/>
                  <w:marBottom w:val="0"/>
                  <w:divBdr>
                    <w:top w:val="none" w:sz="0" w:space="0" w:color="auto"/>
                    <w:left w:val="none" w:sz="0" w:space="0" w:color="auto"/>
                    <w:bottom w:val="none" w:sz="0" w:space="0" w:color="auto"/>
                    <w:right w:val="none" w:sz="0" w:space="0" w:color="auto"/>
                  </w:divBdr>
                  <w:divsChild>
                    <w:div w:id="12468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2357">
      <w:bodyDiv w:val="1"/>
      <w:marLeft w:val="0"/>
      <w:marRight w:val="0"/>
      <w:marTop w:val="0"/>
      <w:marBottom w:val="0"/>
      <w:divBdr>
        <w:top w:val="none" w:sz="0" w:space="0" w:color="auto"/>
        <w:left w:val="none" w:sz="0" w:space="0" w:color="auto"/>
        <w:bottom w:val="none" w:sz="0" w:space="0" w:color="auto"/>
        <w:right w:val="none" w:sz="0" w:space="0" w:color="auto"/>
      </w:divBdr>
    </w:div>
    <w:div w:id="2051372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126B-6CCA-3349-A018-27A2DE2B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5651</Characters>
  <Application>Microsoft Office Word</Application>
  <DocSecurity>0</DocSecurity>
  <Lines>47</Lines>
  <Paragraphs>13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    Utgångspunkter</vt:lpstr>
      <vt:lpstr>    Metod och definitioner</vt:lpstr>
      <vt:lpstr>    Resultat</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Wallér</dc:creator>
  <cp:keywords/>
  <dc:description/>
  <cp:lastModifiedBy>Lisa Stern Ödmark</cp:lastModifiedBy>
  <cp:revision>2</cp:revision>
  <cp:lastPrinted>2018-08-21T08:11:00Z</cp:lastPrinted>
  <dcterms:created xsi:type="dcterms:W3CDTF">2018-11-19T07:36:00Z</dcterms:created>
  <dcterms:modified xsi:type="dcterms:W3CDTF">2018-11-19T07:36:00Z</dcterms:modified>
</cp:coreProperties>
</file>