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FC62" w14:textId="77777777" w:rsidR="0091193C" w:rsidRPr="00A27281" w:rsidRDefault="0091193C">
      <w:pPr>
        <w:rPr>
          <w:sz w:val="20"/>
          <w:szCs w:val="20"/>
        </w:rPr>
      </w:pPr>
    </w:p>
    <w:p w14:paraId="0F3F1B37" w14:textId="77777777" w:rsidR="007D274F" w:rsidRPr="00A27281" w:rsidRDefault="007D274F">
      <w:pPr>
        <w:rPr>
          <w:sz w:val="20"/>
          <w:szCs w:val="20"/>
        </w:rPr>
      </w:pPr>
    </w:p>
    <w:p w14:paraId="0303B7C5" w14:textId="77777777" w:rsidR="00FD4625" w:rsidRDefault="00FD4625">
      <w:pPr>
        <w:rPr>
          <w:sz w:val="20"/>
          <w:szCs w:val="20"/>
        </w:rPr>
      </w:pPr>
    </w:p>
    <w:p w14:paraId="40ADA92E" w14:textId="77777777" w:rsidR="00FD4625" w:rsidRDefault="00FD4625">
      <w:pPr>
        <w:rPr>
          <w:sz w:val="20"/>
          <w:szCs w:val="20"/>
        </w:rPr>
      </w:pPr>
    </w:p>
    <w:p w14:paraId="61400E6C" w14:textId="77777777" w:rsidR="00FD4625" w:rsidRDefault="00FD4625">
      <w:pPr>
        <w:rPr>
          <w:sz w:val="20"/>
          <w:szCs w:val="20"/>
        </w:rPr>
      </w:pPr>
    </w:p>
    <w:p w14:paraId="7176255D" w14:textId="77777777" w:rsidR="00FD4625" w:rsidRDefault="00FD4625">
      <w:pPr>
        <w:rPr>
          <w:sz w:val="20"/>
          <w:szCs w:val="20"/>
        </w:rPr>
      </w:pPr>
    </w:p>
    <w:p w14:paraId="5C8462B6" w14:textId="725FF1F6" w:rsidR="00FD4625" w:rsidRPr="00FD4625" w:rsidRDefault="002462E3" w:rsidP="00FD4625">
      <w:pPr>
        <w:pBdr>
          <w:bottom w:val="single" w:sz="4" w:space="1" w:color="auto"/>
        </w:pBdr>
        <w:rPr>
          <w:rFonts w:ascii="Arial" w:hAnsi="Arial" w:cs="Arial"/>
          <w:b/>
        </w:rPr>
      </w:pPr>
      <w:r>
        <w:rPr>
          <w:rFonts w:ascii="Arial" w:hAnsi="Arial" w:cs="Arial"/>
          <w:b/>
        </w:rPr>
        <w:t xml:space="preserve">Branschriktlinjer </w:t>
      </w:r>
    </w:p>
    <w:p w14:paraId="5DCBB8C2" w14:textId="77777777" w:rsidR="00FD4625" w:rsidRDefault="00FD4625">
      <w:pPr>
        <w:rPr>
          <w:sz w:val="20"/>
          <w:szCs w:val="20"/>
        </w:rPr>
      </w:pPr>
    </w:p>
    <w:p w14:paraId="1D7F9F6A" w14:textId="2978985E" w:rsidR="002462E3" w:rsidRPr="002462E3" w:rsidRDefault="002462E3" w:rsidP="002462E3">
      <w:pPr>
        <w:pStyle w:val="Rubrik2"/>
        <w:rPr>
          <w:b w:val="0"/>
          <w:bCs w:val="0"/>
          <w:iCs/>
          <w:sz w:val="22"/>
          <w:szCs w:val="22"/>
        </w:rPr>
      </w:pPr>
      <w:bookmarkStart w:id="0" w:name="_GoBack"/>
      <w:r w:rsidRPr="002462E3">
        <w:rPr>
          <w:rStyle w:val="Starkbetoning"/>
          <w:i w:val="0"/>
          <w:sz w:val="22"/>
          <w:szCs w:val="22"/>
        </w:rPr>
        <w:t>Försäljning av receptfria läkemedel (OTC) i e-handel</w:t>
      </w:r>
    </w:p>
    <w:bookmarkEnd w:id="0"/>
    <w:p w14:paraId="584DB32E" w14:textId="77777777" w:rsidR="002462E3" w:rsidRPr="002462E3" w:rsidRDefault="002462E3" w:rsidP="002462E3">
      <w:pPr>
        <w:rPr>
          <w:i/>
          <w:sz w:val="20"/>
          <w:szCs w:val="20"/>
        </w:rPr>
      </w:pPr>
      <w:r w:rsidRPr="002462E3">
        <w:rPr>
          <w:sz w:val="20"/>
          <w:szCs w:val="20"/>
        </w:rPr>
        <w:t xml:space="preserve">Vid e-handelsförsäljning av receptfria läkemedel är beställningarna ibland relativt omfattande. Ur farmaceutiskt perspektiv kan dessa beställningar vara tveksamma. Receptfria läkemedel är tänkta att användas under en kort tid, behöver man läkemedel för längre tid ska man söka sjukvård för att få en korrekt diagnos och för att säkerställa att man får rätt behandling. I regelverket finns för närvarande inga tydliga försäljningsbegränsningar och inte heller någon tillhandahållandeskyldighet. Det finns däremot en övergripande bestämmelse i lagen om handel med läkemedel som säger: </w:t>
      </w:r>
      <w:r w:rsidRPr="002462E3">
        <w:rPr>
          <w:i/>
          <w:sz w:val="20"/>
          <w:szCs w:val="20"/>
        </w:rPr>
        <w:t xml:space="preserve">”Handel med läkemedel ska bedrivas på ett sådant sätt att det inte skadar människor”. </w:t>
      </w:r>
    </w:p>
    <w:p w14:paraId="60994237" w14:textId="77777777" w:rsidR="00CC4FBB" w:rsidRDefault="00CC4FBB">
      <w:pPr>
        <w:rPr>
          <w:sz w:val="20"/>
          <w:szCs w:val="20"/>
        </w:rPr>
      </w:pPr>
    </w:p>
    <w:p w14:paraId="344E6C5B" w14:textId="77F57A96" w:rsidR="002462E3" w:rsidRPr="002462E3" w:rsidRDefault="002462E3" w:rsidP="002462E3">
      <w:pPr>
        <w:rPr>
          <w:sz w:val="20"/>
          <w:szCs w:val="20"/>
        </w:rPr>
      </w:pPr>
      <w:r w:rsidRPr="002462E3">
        <w:rPr>
          <w:sz w:val="20"/>
          <w:szCs w:val="20"/>
        </w:rPr>
        <w:t>Ett branschgemensamt förhållningssätt i dessa frågor är rimligt för att uppfylla de krav och förväntningar som finns på en aktör inom Hälso- och sjukvården. Syftet är att förebygga felaktig användning av receptfria läke</w:t>
      </w:r>
      <w:r w:rsidR="00BB0067">
        <w:rPr>
          <w:sz w:val="20"/>
          <w:szCs w:val="20"/>
        </w:rPr>
        <w:t xml:space="preserve">medel - det vill säga - så långt </w:t>
      </w:r>
      <w:r w:rsidRPr="002462E3">
        <w:rPr>
          <w:sz w:val="20"/>
          <w:szCs w:val="20"/>
        </w:rPr>
        <w:t xml:space="preserve">det är möjligt, säkerställa patientsäkerhetsmässiga aspekter vid försäljning av dessa läkemedel via e-handel. </w:t>
      </w:r>
    </w:p>
    <w:p w14:paraId="3F9FAC33" w14:textId="77777777" w:rsidR="002462E3" w:rsidRPr="002462E3" w:rsidRDefault="002462E3" w:rsidP="002462E3">
      <w:pPr>
        <w:rPr>
          <w:sz w:val="20"/>
          <w:szCs w:val="20"/>
        </w:rPr>
      </w:pPr>
    </w:p>
    <w:p w14:paraId="6B9DE725" w14:textId="77777777" w:rsidR="002462E3" w:rsidRPr="002462E3" w:rsidRDefault="002462E3" w:rsidP="002462E3">
      <w:pPr>
        <w:rPr>
          <w:sz w:val="20"/>
          <w:szCs w:val="20"/>
        </w:rPr>
      </w:pPr>
      <w:r w:rsidRPr="002462E3">
        <w:rPr>
          <w:sz w:val="20"/>
          <w:szCs w:val="20"/>
        </w:rPr>
        <w:t>Ytterligare ett syfte finns vilket innebär att aktivt förhindra köp av så stora volymer att vidareförsäljning kan misstänkas, dvs. att inköpet inte avser eget bruk. Sådan försäljning utgör partihandel och öppenvårdsapotek har endast rätt att bedriva detaljhandel.</w:t>
      </w:r>
    </w:p>
    <w:p w14:paraId="23B96B08" w14:textId="77777777" w:rsidR="002462E3" w:rsidRPr="002462E3" w:rsidRDefault="002462E3" w:rsidP="002462E3">
      <w:pPr>
        <w:rPr>
          <w:sz w:val="20"/>
          <w:szCs w:val="20"/>
        </w:rPr>
      </w:pPr>
    </w:p>
    <w:p w14:paraId="1B4BDDA9" w14:textId="77777777" w:rsidR="002462E3" w:rsidRPr="002462E3" w:rsidRDefault="002462E3" w:rsidP="002462E3">
      <w:pPr>
        <w:rPr>
          <w:sz w:val="20"/>
          <w:szCs w:val="20"/>
        </w:rPr>
      </w:pPr>
      <w:r w:rsidRPr="002462E3">
        <w:rPr>
          <w:sz w:val="20"/>
          <w:szCs w:val="20"/>
        </w:rPr>
        <w:t xml:space="preserve">Branschriktlinjerna ger vägledning till apotekspersonalen rörande förhållningssätt vid beställningar inom e-handel som kan vara volymmässigt omfattande eller av annan anledning problematiska. </w:t>
      </w:r>
    </w:p>
    <w:p w14:paraId="50EF4435" w14:textId="77777777" w:rsidR="00787EFA" w:rsidRDefault="00787EFA">
      <w:pPr>
        <w:rPr>
          <w:sz w:val="20"/>
          <w:szCs w:val="20"/>
        </w:rPr>
      </w:pPr>
    </w:p>
    <w:p w14:paraId="06188EFB" w14:textId="5BE7779B" w:rsidR="004B3BF6" w:rsidRPr="00FD4625" w:rsidRDefault="002462E3" w:rsidP="00FD4625">
      <w:pPr>
        <w:pStyle w:val="Rubrik2"/>
        <w:rPr>
          <w:rStyle w:val="Starkbetoning"/>
          <w:i w:val="0"/>
          <w:sz w:val="22"/>
          <w:szCs w:val="22"/>
        </w:rPr>
      </w:pPr>
      <w:r>
        <w:rPr>
          <w:rStyle w:val="Starkbetoning"/>
          <w:i w:val="0"/>
          <w:sz w:val="22"/>
          <w:szCs w:val="22"/>
        </w:rPr>
        <w:t>Riktlinjerna är</w:t>
      </w:r>
    </w:p>
    <w:p w14:paraId="307D2056" w14:textId="347D3BBF" w:rsidR="002462E3" w:rsidRPr="002462E3" w:rsidRDefault="002462E3" w:rsidP="002462E3">
      <w:pPr>
        <w:pStyle w:val="Liststycke"/>
        <w:numPr>
          <w:ilvl w:val="0"/>
          <w:numId w:val="4"/>
        </w:numPr>
        <w:rPr>
          <w:b/>
          <w:sz w:val="20"/>
          <w:szCs w:val="20"/>
        </w:rPr>
      </w:pPr>
      <w:r w:rsidRPr="002462E3">
        <w:rPr>
          <w:sz w:val="20"/>
          <w:szCs w:val="20"/>
        </w:rPr>
        <w:t xml:space="preserve">Vid beställning av läkemedel i större volymer ska risk för felaktig användning alltid övervägas. </w:t>
      </w:r>
      <w:r w:rsidRPr="002462E3">
        <w:rPr>
          <w:rFonts w:ascii="MS Mincho" w:eastAsia="MS Mincho" w:hAnsi="MS Mincho" w:cs="MS Mincho"/>
          <w:sz w:val="20"/>
          <w:szCs w:val="20"/>
        </w:rPr>
        <w:t> </w:t>
      </w:r>
    </w:p>
    <w:p w14:paraId="4B4E5F67" w14:textId="4369DA5D" w:rsidR="002462E3" w:rsidRPr="002462E3" w:rsidRDefault="002462E3" w:rsidP="002462E3">
      <w:pPr>
        <w:pStyle w:val="Liststycke"/>
        <w:numPr>
          <w:ilvl w:val="0"/>
          <w:numId w:val="4"/>
        </w:numPr>
        <w:rPr>
          <w:sz w:val="20"/>
          <w:szCs w:val="20"/>
        </w:rPr>
      </w:pPr>
      <w:r w:rsidRPr="002462E3">
        <w:rPr>
          <w:sz w:val="20"/>
          <w:szCs w:val="20"/>
        </w:rPr>
        <w:t xml:space="preserve">Farmaceut ska vid tveksamheter i beställning alltid försöka kontakta patient/kund för att säkerställa en adekvat läkemedelsanvändning. </w:t>
      </w:r>
      <w:r w:rsidRPr="002462E3">
        <w:rPr>
          <w:rFonts w:ascii="MS Mincho" w:eastAsia="MS Mincho" w:hAnsi="MS Mincho" w:cs="MS Mincho"/>
          <w:sz w:val="20"/>
          <w:szCs w:val="20"/>
        </w:rPr>
        <w:t> </w:t>
      </w:r>
    </w:p>
    <w:p w14:paraId="18AEDC4B" w14:textId="4EEB02AB" w:rsidR="002462E3" w:rsidRPr="002462E3" w:rsidRDefault="002462E3" w:rsidP="002462E3">
      <w:pPr>
        <w:pStyle w:val="Liststycke"/>
        <w:numPr>
          <w:ilvl w:val="0"/>
          <w:numId w:val="4"/>
        </w:numPr>
        <w:rPr>
          <w:sz w:val="20"/>
          <w:szCs w:val="20"/>
        </w:rPr>
      </w:pPr>
      <w:r w:rsidRPr="002462E3">
        <w:rPr>
          <w:sz w:val="20"/>
          <w:szCs w:val="20"/>
        </w:rPr>
        <w:t xml:space="preserve">Farmaceut kan, då patient/kund ej kan nås, på eget initiativ begränsa försäljning av dessa läkemedel till rimlig omfattning. </w:t>
      </w:r>
      <w:r w:rsidRPr="002462E3">
        <w:rPr>
          <w:rFonts w:ascii="MS Mincho" w:eastAsia="MS Mincho" w:hAnsi="MS Mincho" w:cs="MS Mincho"/>
          <w:sz w:val="20"/>
          <w:szCs w:val="20"/>
        </w:rPr>
        <w:t> </w:t>
      </w:r>
    </w:p>
    <w:p w14:paraId="0745F5FA" w14:textId="5918735A" w:rsidR="002462E3" w:rsidRPr="002462E3" w:rsidRDefault="002462E3" w:rsidP="002462E3">
      <w:pPr>
        <w:pStyle w:val="Liststycke"/>
        <w:numPr>
          <w:ilvl w:val="0"/>
          <w:numId w:val="4"/>
        </w:numPr>
        <w:rPr>
          <w:sz w:val="20"/>
          <w:szCs w:val="20"/>
        </w:rPr>
      </w:pPr>
      <w:r w:rsidRPr="002462E3">
        <w:rPr>
          <w:sz w:val="20"/>
          <w:szCs w:val="20"/>
        </w:rPr>
        <w:t>En tumrege</w:t>
      </w:r>
      <w:r w:rsidR="009003C0">
        <w:rPr>
          <w:sz w:val="20"/>
          <w:szCs w:val="20"/>
        </w:rPr>
        <w:t xml:space="preserve">l är att beställning av </w:t>
      </w:r>
      <w:r w:rsidRPr="002462E3">
        <w:rPr>
          <w:sz w:val="20"/>
          <w:szCs w:val="20"/>
        </w:rPr>
        <w:t>fem förpackningar eller fler av samma läkemedel, bör föranleda ett farmaceutiskt övervägande av hela beställningen.</w:t>
      </w:r>
    </w:p>
    <w:p w14:paraId="7B5B8290" w14:textId="77777777" w:rsidR="007D274F" w:rsidRPr="00FD4625" w:rsidRDefault="007D274F">
      <w:pPr>
        <w:rPr>
          <w:sz w:val="22"/>
          <w:szCs w:val="22"/>
        </w:rPr>
      </w:pPr>
    </w:p>
    <w:sectPr w:rsidR="007D274F" w:rsidRPr="00FD4625" w:rsidSect="00506E52">
      <w:headerReference w:type="default" r:id="rId8"/>
      <w:footerReference w:type="default" r:id="rId9"/>
      <w:pgSz w:w="11900" w:h="16840"/>
      <w:pgMar w:top="2268" w:right="1835" w:bottom="568"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9995" w14:textId="77777777" w:rsidR="009D69E1" w:rsidRDefault="009D69E1" w:rsidP="002F2B27">
      <w:r>
        <w:separator/>
      </w:r>
    </w:p>
  </w:endnote>
  <w:endnote w:type="continuationSeparator" w:id="0">
    <w:p w14:paraId="37A0E59E" w14:textId="77777777" w:rsidR="009D69E1" w:rsidRDefault="009D69E1" w:rsidP="002F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18D9" w14:textId="77777777" w:rsidR="00667A75" w:rsidRPr="00840848" w:rsidRDefault="00667A75" w:rsidP="00840848">
    <w:pPr>
      <w:pStyle w:val="Sidfot"/>
      <w:jc w:val="right"/>
      <w:rPr>
        <w:rFonts w:ascii="Arial" w:hAnsi="Arial" w:cs="Arial"/>
        <w:sz w:val="20"/>
        <w:szCs w:val="20"/>
      </w:rPr>
    </w:pPr>
    <w:r w:rsidRPr="00840848">
      <w:rPr>
        <w:rStyle w:val="Sidnummer"/>
        <w:rFonts w:ascii="Arial" w:hAnsi="Arial" w:cs="Arial"/>
        <w:sz w:val="20"/>
        <w:szCs w:val="20"/>
      </w:rPr>
      <w:fldChar w:fldCharType="begin"/>
    </w:r>
    <w:r w:rsidRPr="00840848">
      <w:rPr>
        <w:rStyle w:val="Sidnummer"/>
        <w:rFonts w:ascii="Arial" w:hAnsi="Arial" w:cs="Arial"/>
        <w:sz w:val="20"/>
        <w:szCs w:val="20"/>
      </w:rPr>
      <w:instrText xml:space="preserve"> PAGE </w:instrText>
    </w:r>
    <w:r w:rsidRPr="00840848">
      <w:rPr>
        <w:rStyle w:val="Sidnummer"/>
        <w:rFonts w:ascii="Arial" w:hAnsi="Arial" w:cs="Arial"/>
        <w:sz w:val="20"/>
        <w:szCs w:val="20"/>
      </w:rPr>
      <w:fldChar w:fldCharType="separate"/>
    </w:r>
    <w:r w:rsidR="009003C0">
      <w:rPr>
        <w:rStyle w:val="Sidnummer"/>
        <w:rFonts w:ascii="Arial" w:hAnsi="Arial" w:cs="Arial"/>
        <w:noProof/>
        <w:sz w:val="20"/>
        <w:szCs w:val="20"/>
      </w:rPr>
      <w:t>1</w:t>
    </w:r>
    <w:r w:rsidRPr="00840848">
      <w:rPr>
        <w:rStyle w:val="Sid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246C" w14:textId="77777777" w:rsidR="009D69E1" w:rsidRDefault="009D69E1" w:rsidP="002F2B27">
      <w:r>
        <w:separator/>
      </w:r>
    </w:p>
  </w:footnote>
  <w:footnote w:type="continuationSeparator" w:id="0">
    <w:p w14:paraId="25C30F40" w14:textId="77777777" w:rsidR="009D69E1" w:rsidRDefault="009D69E1" w:rsidP="002F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0014" w14:textId="77777777" w:rsidR="00667A75" w:rsidRDefault="00667A75" w:rsidP="002F2B27">
    <w:pPr>
      <w:pStyle w:val="Sidhuvud"/>
    </w:pPr>
    <w:r w:rsidRPr="002F2B27">
      <w:rPr>
        <w:rFonts w:asciiTheme="majorHAnsi" w:hAnsiTheme="majorHAnsi"/>
        <w:b/>
        <w:sz w:val="20"/>
        <w:szCs w:val="20"/>
      </w:rPr>
      <w:t>Promemoria</w:t>
    </w:r>
    <w:r>
      <w:tab/>
      <w:t xml:space="preserve">                                                           </w:t>
    </w:r>
    <w:r>
      <w:rPr>
        <w:noProof/>
      </w:rPr>
      <w:drawing>
        <wp:inline distT="0" distB="0" distL="0" distR="0" wp14:anchorId="382CB60C" wp14:editId="2650C2A0">
          <wp:extent cx="1905928" cy="187693"/>
          <wp:effectExtent l="0" t="0" r="0" b="0"/>
          <wp:docPr id="1" name="Bildobjekt 1" descr="Macintosh HD:Users:johanwaller:Dropbox (SA):Sveriges Apoteksförening:Logotype och grafisk profil:logga uppdel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nwaller:Dropbox (SA):Sveriges Apoteksförening:Logotype och grafisk profil:logga uppdela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62" cy="187854"/>
                  </a:xfrm>
                  <a:prstGeom prst="rect">
                    <a:avLst/>
                  </a:prstGeom>
                  <a:noFill/>
                  <a:ln>
                    <a:noFill/>
                  </a:ln>
                </pic:spPr>
              </pic:pic>
            </a:graphicData>
          </a:graphic>
        </wp:inline>
      </w:drawing>
    </w:r>
  </w:p>
  <w:p w14:paraId="5D6A459F" w14:textId="23483ABA" w:rsidR="00667A75" w:rsidRDefault="00667A75" w:rsidP="002F2B27">
    <w:pPr>
      <w:pStyle w:val="Sidhuvud"/>
      <w:rPr>
        <w:rFonts w:asciiTheme="majorHAnsi" w:hAnsiTheme="majorHAnsi"/>
        <w:sz w:val="20"/>
        <w:szCs w:val="20"/>
      </w:rPr>
    </w:pPr>
    <w:r w:rsidRPr="002F2B27">
      <w:rPr>
        <w:rFonts w:asciiTheme="majorHAnsi" w:hAnsiTheme="majorHAnsi"/>
        <w:sz w:val="20"/>
        <w:szCs w:val="20"/>
      </w:rPr>
      <w:t>Version 1</w:t>
    </w:r>
  </w:p>
  <w:p w14:paraId="2501B276" w14:textId="75082DF8" w:rsidR="00E4779C" w:rsidRPr="00E4779C" w:rsidRDefault="00E4779C" w:rsidP="002F2B27">
    <w:pPr>
      <w:pStyle w:val="Sidhuvud"/>
      <w:rPr>
        <w:rFonts w:asciiTheme="majorHAnsi" w:hAnsiTheme="majorHAnsi"/>
        <w:sz w:val="20"/>
        <w:szCs w:val="20"/>
      </w:rPr>
    </w:pPr>
    <w:r>
      <w:rPr>
        <w:rFonts w:asciiTheme="majorHAnsi" w:hAnsiTheme="majorHAnsi"/>
        <w:sz w:val="20"/>
        <w:szCs w:val="20"/>
      </w:rPr>
      <w:t>2015-12-16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53103E"/>
    <w:multiLevelType w:val="hybridMultilevel"/>
    <w:tmpl w:val="98EE73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AB275A4"/>
    <w:multiLevelType w:val="multilevel"/>
    <w:tmpl w:val="BAD6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E6CDC"/>
    <w:multiLevelType w:val="hybridMultilevel"/>
    <w:tmpl w:val="16924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74F"/>
    <w:rsid w:val="0001257B"/>
    <w:rsid w:val="001B68A2"/>
    <w:rsid w:val="002302C5"/>
    <w:rsid w:val="002462E3"/>
    <w:rsid w:val="002E1F99"/>
    <w:rsid w:val="002F2B27"/>
    <w:rsid w:val="00361126"/>
    <w:rsid w:val="003A12EA"/>
    <w:rsid w:val="004B3BF6"/>
    <w:rsid w:val="004F0456"/>
    <w:rsid w:val="00506E52"/>
    <w:rsid w:val="005D0E66"/>
    <w:rsid w:val="005F5D01"/>
    <w:rsid w:val="00616AC8"/>
    <w:rsid w:val="00667A75"/>
    <w:rsid w:val="006A626C"/>
    <w:rsid w:val="006C1146"/>
    <w:rsid w:val="007444F0"/>
    <w:rsid w:val="0076766A"/>
    <w:rsid w:val="00785E10"/>
    <w:rsid w:val="00787EFA"/>
    <w:rsid w:val="007B4D42"/>
    <w:rsid w:val="007D274F"/>
    <w:rsid w:val="0082136D"/>
    <w:rsid w:val="00840848"/>
    <w:rsid w:val="008B7BAB"/>
    <w:rsid w:val="009003C0"/>
    <w:rsid w:val="0091193C"/>
    <w:rsid w:val="0093719A"/>
    <w:rsid w:val="009A6605"/>
    <w:rsid w:val="009D69E1"/>
    <w:rsid w:val="00A27281"/>
    <w:rsid w:val="00B91133"/>
    <w:rsid w:val="00BB0067"/>
    <w:rsid w:val="00CA692F"/>
    <w:rsid w:val="00CC4FBB"/>
    <w:rsid w:val="00D6025F"/>
    <w:rsid w:val="00D84B36"/>
    <w:rsid w:val="00E03225"/>
    <w:rsid w:val="00E22622"/>
    <w:rsid w:val="00E271B8"/>
    <w:rsid w:val="00E4779C"/>
    <w:rsid w:val="00E66B63"/>
    <w:rsid w:val="00E73A05"/>
    <w:rsid w:val="00EA2F6E"/>
    <w:rsid w:val="00EA610C"/>
    <w:rsid w:val="00F002C4"/>
    <w:rsid w:val="00FD46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E9036"/>
  <w14:defaultImageDpi w14:val="300"/>
  <w15:docId w15:val="{1FEB4C36-07A0-844B-B66C-24FCAE7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D4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2B27"/>
    <w:pPr>
      <w:tabs>
        <w:tab w:val="center" w:pos="4536"/>
        <w:tab w:val="right" w:pos="9072"/>
      </w:tabs>
    </w:pPr>
  </w:style>
  <w:style w:type="character" w:customStyle="1" w:styleId="SidhuvudChar">
    <w:name w:val="Sidhuvud Char"/>
    <w:basedOn w:val="Standardstycketeckensnitt"/>
    <w:link w:val="Sidhuvud"/>
    <w:uiPriority w:val="99"/>
    <w:rsid w:val="002F2B27"/>
  </w:style>
  <w:style w:type="paragraph" w:styleId="Sidfot">
    <w:name w:val="footer"/>
    <w:basedOn w:val="Normal"/>
    <w:link w:val="SidfotChar"/>
    <w:uiPriority w:val="99"/>
    <w:unhideWhenUsed/>
    <w:rsid w:val="002F2B27"/>
    <w:pPr>
      <w:tabs>
        <w:tab w:val="center" w:pos="4536"/>
        <w:tab w:val="right" w:pos="9072"/>
      </w:tabs>
    </w:pPr>
  </w:style>
  <w:style w:type="character" w:customStyle="1" w:styleId="SidfotChar">
    <w:name w:val="Sidfot Char"/>
    <w:basedOn w:val="Standardstycketeckensnitt"/>
    <w:link w:val="Sidfot"/>
    <w:uiPriority w:val="99"/>
    <w:rsid w:val="002F2B27"/>
  </w:style>
  <w:style w:type="character" w:customStyle="1" w:styleId="Rubrik2Char">
    <w:name w:val="Rubrik 2 Char"/>
    <w:basedOn w:val="Standardstycketeckensnitt"/>
    <w:link w:val="Rubrik2"/>
    <w:uiPriority w:val="9"/>
    <w:rsid w:val="00FD4625"/>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FD4625"/>
    <w:rPr>
      <w:b/>
      <w:bCs/>
      <w:i/>
      <w:iCs/>
      <w:color w:val="4F81BD" w:themeColor="accent1"/>
    </w:rPr>
  </w:style>
  <w:style w:type="paragraph" w:styleId="Underrubrik">
    <w:name w:val="Subtitle"/>
    <w:basedOn w:val="Normal"/>
    <w:next w:val="Normal"/>
    <w:link w:val="UnderrubrikChar"/>
    <w:uiPriority w:val="11"/>
    <w:qFormat/>
    <w:rsid w:val="00FD4625"/>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FD4625"/>
    <w:rPr>
      <w:rFonts w:asciiTheme="majorHAnsi" w:eastAsiaTheme="majorEastAsia" w:hAnsiTheme="majorHAnsi" w:cstheme="majorBidi"/>
      <w:i/>
      <w:iCs/>
      <w:color w:val="4F81BD" w:themeColor="accent1"/>
      <w:spacing w:val="15"/>
    </w:rPr>
  </w:style>
  <w:style w:type="paragraph" w:styleId="Liststycke">
    <w:name w:val="List Paragraph"/>
    <w:basedOn w:val="Normal"/>
    <w:uiPriority w:val="34"/>
    <w:qFormat/>
    <w:rsid w:val="00840848"/>
    <w:pPr>
      <w:ind w:left="720"/>
      <w:contextualSpacing/>
    </w:pPr>
  </w:style>
  <w:style w:type="character" w:styleId="Sidnummer">
    <w:name w:val="page number"/>
    <w:basedOn w:val="Standardstycketeckensnitt"/>
    <w:uiPriority w:val="99"/>
    <w:semiHidden/>
    <w:unhideWhenUsed/>
    <w:rsid w:val="00840848"/>
  </w:style>
  <w:style w:type="paragraph" w:styleId="Normalwebb">
    <w:name w:val="Normal (Web)"/>
    <w:basedOn w:val="Normal"/>
    <w:uiPriority w:val="99"/>
    <w:semiHidden/>
    <w:unhideWhenUsed/>
    <w:rsid w:val="00E271B8"/>
    <w:rPr>
      <w:rFonts w:ascii="Times New Roman" w:hAnsi="Times New Roman" w:cs="Times New Roman"/>
    </w:rPr>
  </w:style>
  <w:style w:type="paragraph" w:styleId="Ballongtext">
    <w:name w:val="Balloon Text"/>
    <w:basedOn w:val="Normal"/>
    <w:link w:val="BallongtextChar"/>
    <w:uiPriority w:val="99"/>
    <w:semiHidden/>
    <w:unhideWhenUsed/>
    <w:rsid w:val="0001257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125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9199">
      <w:bodyDiv w:val="1"/>
      <w:marLeft w:val="0"/>
      <w:marRight w:val="0"/>
      <w:marTop w:val="0"/>
      <w:marBottom w:val="0"/>
      <w:divBdr>
        <w:top w:val="none" w:sz="0" w:space="0" w:color="auto"/>
        <w:left w:val="none" w:sz="0" w:space="0" w:color="auto"/>
        <w:bottom w:val="none" w:sz="0" w:space="0" w:color="auto"/>
        <w:right w:val="none" w:sz="0" w:space="0" w:color="auto"/>
      </w:divBdr>
      <w:divsChild>
        <w:div w:id="1737783319">
          <w:marLeft w:val="0"/>
          <w:marRight w:val="0"/>
          <w:marTop w:val="0"/>
          <w:marBottom w:val="0"/>
          <w:divBdr>
            <w:top w:val="none" w:sz="0" w:space="0" w:color="auto"/>
            <w:left w:val="none" w:sz="0" w:space="0" w:color="auto"/>
            <w:bottom w:val="none" w:sz="0" w:space="0" w:color="auto"/>
            <w:right w:val="none" w:sz="0" w:space="0" w:color="auto"/>
          </w:divBdr>
          <w:divsChild>
            <w:div w:id="1954894746">
              <w:marLeft w:val="0"/>
              <w:marRight w:val="0"/>
              <w:marTop w:val="0"/>
              <w:marBottom w:val="0"/>
              <w:divBdr>
                <w:top w:val="none" w:sz="0" w:space="0" w:color="auto"/>
                <w:left w:val="none" w:sz="0" w:space="0" w:color="auto"/>
                <w:bottom w:val="none" w:sz="0" w:space="0" w:color="auto"/>
                <w:right w:val="none" w:sz="0" w:space="0" w:color="auto"/>
              </w:divBdr>
              <w:divsChild>
                <w:div w:id="13371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9405">
      <w:bodyDiv w:val="1"/>
      <w:marLeft w:val="0"/>
      <w:marRight w:val="0"/>
      <w:marTop w:val="0"/>
      <w:marBottom w:val="0"/>
      <w:divBdr>
        <w:top w:val="none" w:sz="0" w:space="0" w:color="auto"/>
        <w:left w:val="none" w:sz="0" w:space="0" w:color="auto"/>
        <w:bottom w:val="none" w:sz="0" w:space="0" w:color="auto"/>
        <w:right w:val="none" w:sz="0" w:space="0" w:color="auto"/>
      </w:divBdr>
      <w:divsChild>
        <w:div w:id="1560750661">
          <w:marLeft w:val="0"/>
          <w:marRight w:val="0"/>
          <w:marTop w:val="0"/>
          <w:marBottom w:val="0"/>
          <w:divBdr>
            <w:top w:val="none" w:sz="0" w:space="0" w:color="auto"/>
            <w:left w:val="none" w:sz="0" w:space="0" w:color="auto"/>
            <w:bottom w:val="none" w:sz="0" w:space="0" w:color="auto"/>
            <w:right w:val="none" w:sz="0" w:space="0" w:color="auto"/>
          </w:divBdr>
          <w:divsChild>
            <w:div w:id="715618438">
              <w:marLeft w:val="0"/>
              <w:marRight w:val="0"/>
              <w:marTop w:val="0"/>
              <w:marBottom w:val="0"/>
              <w:divBdr>
                <w:top w:val="none" w:sz="0" w:space="0" w:color="auto"/>
                <w:left w:val="none" w:sz="0" w:space="0" w:color="auto"/>
                <w:bottom w:val="none" w:sz="0" w:space="0" w:color="auto"/>
                <w:right w:val="none" w:sz="0" w:space="0" w:color="auto"/>
              </w:divBdr>
              <w:divsChild>
                <w:div w:id="15158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8894">
      <w:bodyDiv w:val="1"/>
      <w:marLeft w:val="0"/>
      <w:marRight w:val="0"/>
      <w:marTop w:val="0"/>
      <w:marBottom w:val="0"/>
      <w:divBdr>
        <w:top w:val="none" w:sz="0" w:space="0" w:color="auto"/>
        <w:left w:val="none" w:sz="0" w:space="0" w:color="auto"/>
        <w:bottom w:val="none" w:sz="0" w:space="0" w:color="auto"/>
        <w:right w:val="none" w:sz="0" w:space="0" w:color="auto"/>
      </w:divBdr>
      <w:divsChild>
        <w:div w:id="944768206">
          <w:marLeft w:val="0"/>
          <w:marRight w:val="0"/>
          <w:marTop w:val="0"/>
          <w:marBottom w:val="0"/>
          <w:divBdr>
            <w:top w:val="none" w:sz="0" w:space="0" w:color="auto"/>
            <w:left w:val="none" w:sz="0" w:space="0" w:color="auto"/>
            <w:bottom w:val="none" w:sz="0" w:space="0" w:color="auto"/>
            <w:right w:val="none" w:sz="0" w:space="0" w:color="auto"/>
          </w:divBdr>
          <w:divsChild>
            <w:div w:id="388461397">
              <w:marLeft w:val="0"/>
              <w:marRight w:val="0"/>
              <w:marTop w:val="0"/>
              <w:marBottom w:val="0"/>
              <w:divBdr>
                <w:top w:val="none" w:sz="0" w:space="0" w:color="auto"/>
                <w:left w:val="none" w:sz="0" w:space="0" w:color="auto"/>
                <w:bottom w:val="none" w:sz="0" w:space="0" w:color="auto"/>
                <w:right w:val="none" w:sz="0" w:space="0" w:color="auto"/>
              </w:divBdr>
              <w:divsChild>
                <w:div w:id="615672913">
                  <w:marLeft w:val="0"/>
                  <w:marRight w:val="0"/>
                  <w:marTop w:val="0"/>
                  <w:marBottom w:val="0"/>
                  <w:divBdr>
                    <w:top w:val="none" w:sz="0" w:space="0" w:color="auto"/>
                    <w:left w:val="none" w:sz="0" w:space="0" w:color="auto"/>
                    <w:bottom w:val="none" w:sz="0" w:space="0" w:color="auto"/>
                    <w:right w:val="none" w:sz="0" w:space="0" w:color="auto"/>
                  </w:divBdr>
                  <w:divsChild>
                    <w:div w:id="12468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44E2-F182-F544-ADEB-D1F71DE2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1770</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Bakgrund</vt:lpstr>
      <vt:lpstr>    Aktuell situation</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Wallér</dc:creator>
  <cp:keywords/>
  <dc:description/>
  <cp:lastModifiedBy>Fredrik Boström</cp:lastModifiedBy>
  <cp:revision>6</cp:revision>
  <dcterms:created xsi:type="dcterms:W3CDTF">2015-12-07T15:01:00Z</dcterms:created>
  <dcterms:modified xsi:type="dcterms:W3CDTF">2019-04-12T13:28:00Z</dcterms:modified>
</cp:coreProperties>
</file>